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3D1D38" w14:textId="5DBE0DAB" w:rsidR="003C16E5" w:rsidRDefault="003C16E5" w:rsidP="000A0883">
      <w:pPr>
        <w:spacing w:line="480" w:lineRule="auto"/>
        <w:jc w:val="center"/>
      </w:pPr>
      <w:r>
        <w:rPr>
          <w:b/>
          <w:bCs/>
        </w:rPr>
        <w:t>The Expansive Relationist Orientation of Walter J. Ong’s Thought</w:t>
      </w:r>
    </w:p>
    <w:p w14:paraId="5F1F417F" w14:textId="4D207FF3" w:rsidR="003C16E5" w:rsidRDefault="003C16E5" w:rsidP="000A0883">
      <w:pPr>
        <w:spacing w:line="480" w:lineRule="auto"/>
        <w:jc w:val="center"/>
      </w:pPr>
    </w:p>
    <w:p w14:paraId="72D96CCF" w14:textId="0B76EF99" w:rsidR="003C16E5" w:rsidRDefault="003C16E5" w:rsidP="000A0883">
      <w:pPr>
        <w:spacing w:line="480" w:lineRule="auto"/>
        <w:jc w:val="center"/>
      </w:pPr>
      <w:r>
        <w:rPr>
          <w:b/>
          <w:bCs/>
        </w:rPr>
        <w:t>Thomas J. Farrell</w:t>
      </w:r>
    </w:p>
    <w:p w14:paraId="6CD2728F" w14:textId="00331ABC" w:rsidR="003C16E5" w:rsidRDefault="003C16E5" w:rsidP="000A0883">
      <w:pPr>
        <w:spacing w:line="480" w:lineRule="auto"/>
        <w:jc w:val="center"/>
      </w:pPr>
      <w:r>
        <w:rPr>
          <w:b/>
          <w:bCs/>
        </w:rPr>
        <w:t>Professor Emeritus of Writing Studies</w:t>
      </w:r>
    </w:p>
    <w:p w14:paraId="0CB542A2" w14:textId="09C61706" w:rsidR="003C16E5" w:rsidRDefault="003C16E5" w:rsidP="000A0883">
      <w:pPr>
        <w:spacing w:line="480" w:lineRule="auto"/>
        <w:jc w:val="center"/>
      </w:pPr>
      <w:r>
        <w:rPr>
          <w:b/>
          <w:bCs/>
        </w:rPr>
        <w:t>University of Minnesota Duluth</w:t>
      </w:r>
    </w:p>
    <w:p w14:paraId="0F6DF6AF" w14:textId="2D1CA3E0" w:rsidR="003C16E5" w:rsidRDefault="003C16E5" w:rsidP="000A0883">
      <w:pPr>
        <w:spacing w:line="480" w:lineRule="auto"/>
        <w:jc w:val="center"/>
      </w:pPr>
      <w:r>
        <w:rPr>
          <w:b/>
          <w:bCs/>
        </w:rPr>
        <w:t>Web:</w:t>
      </w:r>
      <w:r w:rsidR="00F445BD">
        <w:rPr>
          <w:b/>
          <w:bCs/>
        </w:rPr>
        <w:t xml:space="preserve"> </w:t>
      </w:r>
      <w:hyperlink r:id="rId7" w:history="1">
        <w:r w:rsidR="00F445BD" w:rsidRPr="00FF0178">
          <w:rPr>
            <w:rStyle w:val="Hyperlink"/>
            <w:b/>
            <w:bCs/>
          </w:rPr>
          <w:t>www.d.umn.edu/~tfarrell</w:t>
        </w:r>
      </w:hyperlink>
    </w:p>
    <w:p w14:paraId="7AD0B0D2" w14:textId="54B0B0FD" w:rsidR="003C16E5" w:rsidRDefault="003C16E5" w:rsidP="000A0883">
      <w:pPr>
        <w:spacing w:line="480" w:lineRule="auto"/>
        <w:jc w:val="center"/>
      </w:pPr>
      <w:r>
        <w:rPr>
          <w:b/>
          <w:bCs/>
        </w:rPr>
        <w:t xml:space="preserve">Email: </w:t>
      </w:r>
      <w:hyperlink r:id="rId8" w:history="1">
        <w:r w:rsidRPr="00FF0178">
          <w:rPr>
            <w:rStyle w:val="Hyperlink"/>
            <w:b/>
            <w:bCs/>
          </w:rPr>
          <w:t>tfarrell@d.umn.edu</w:t>
        </w:r>
      </w:hyperlink>
    </w:p>
    <w:p w14:paraId="58A5C840" w14:textId="77777777" w:rsidR="003C16E5" w:rsidRPr="003C16E5" w:rsidRDefault="003C16E5" w:rsidP="000A0883">
      <w:pPr>
        <w:spacing w:line="480" w:lineRule="auto"/>
        <w:jc w:val="center"/>
      </w:pPr>
    </w:p>
    <w:p w14:paraId="5FCC259E" w14:textId="77777777" w:rsidR="003C16E5" w:rsidRDefault="003C16E5" w:rsidP="000A0883">
      <w:pPr>
        <w:spacing w:line="480" w:lineRule="auto"/>
      </w:pPr>
    </w:p>
    <w:p w14:paraId="00C1D702" w14:textId="49536ED5" w:rsidR="004176D8" w:rsidRPr="007A5964" w:rsidRDefault="004176D8" w:rsidP="000A0883">
      <w:pPr>
        <w:spacing w:line="480" w:lineRule="auto"/>
      </w:pPr>
      <w:r>
        <w:rPr>
          <w:b/>
          <w:bCs/>
        </w:rPr>
        <w:t>The pioneering media ecology theorist Walter J. Ong (1912-2003; Ph.D. in English, Harvard University, 1955) is a tough act to follow.</w:t>
      </w:r>
      <w:r w:rsidR="00BE352E">
        <w:rPr>
          <w:b/>
          <w:bCs/>
        </w:rPr>
        <w:t xml:space="preserve"> However, as a</w:t>
      </w:r>
      <w:r>
        <w:rPr>
          <w:b/>
          <w:bCs/>
        </w:rPr>
        <w:t xml:space="preserve"> media ecology theorist today</w:t>
      </w:r>
      <w:r w:rsidR="00BE352E">
        <w:rPr>
          <w:b/>
          <w:bCs/>
        </w:rPr>
        <w:t>, I</w:t>
      </w:r>
      <w:r>
        <w:rPr>
          <w:b/>
          <w:bCs/>
        </w:rPr>
        <w:t xml:space="preserve"> follow his example</w:t>
      </w:r>
      <w:r w:rsidR="00895CA8">
        <w:rPr>
          <w:b/>
          <w:bCs/>
        </w:rPr>
        <w:t xml:space="preserve"> by further developing themes in his mature work from the early 1950s onward</w:t>
      </w:r>
      <w:r w:rsidR="00BE352E">
        <w:rPr>
          <w:b/>
          <w:bCs/>
        </w:rPr>
        <w:t xml:space="preserve">. In the hope of </w:t>
      </w:r>
      <w:proofErr w:type="gramStart"/>
      <w:r w:rsidR="00BE352E">
        <w:rPr>
          <w:b/>
          <w:bCs/>
        </w:rPr>
        <w:t>win</w:t>
      </w:r>
      <w:r w:rsidR="007E11B2">
        <w:rPr>
          <w:b/>
          <w:bCs/>
        </w:rPr>
        <w:t>n</w:t>
      </w:r>
      <w:r w:rsidR="00BE352E">
        <w:rPr>
          <w:b/>
          <w:bCs/>
        </w:rPr>
        <w:t>ing</w:t>
      </w:r>
      <w:proofErr w:type="gramEnd"/>
      <w:r w:rsidR="007E11B2">
        <w:rPr>
          <w:b/>
          <w:bCs/>
        </w:rPr>
        <w:t xml:space="preserve"> </w:t>
      </w:r>
      <w:r w:rsidR="00BE352E">
        <w:rPr>
          <w:b/>
          <w:bCs/>
        </w:rPr>
        <w:t>you over to Ong’s media ecology theory,</w:t>
      </w:r>
      <w:r w:rsidR="00895CA8">
        <w:rPr>
          <w:b/>
          <w:bCs/>
        </w:rPr>
        <w:t xml:space="preserve"> I have selected five themes from </w:t>
      </w:r>
      <w:r w:rsidR="00BE352E">
        <w:rPr>
          <w:b/>
          <w:bCs/>
        </w:rPr>
        <w:t>his</w:t>
      </w:r>
      <w:r w:rsidR="00895CA8">
        <w:rPr>
          <w:b/>
          <w:bCs/>
        </w:rPr>
        <w:t xml:space="preserve"> 1982 book </w:t>
      </w:r>
      <w:r w:rsidR="00895CA8">
        <w:rPr>
          <w:b/>
          <w:bCs/>
          <w:i/>
          <w:iCs/>
        </w:rPr>
        <w:t>Orality and Literacy: The Technologizing of the Word</w:t>
      </w:r>
      <w:r w:rsidR="00895CA8">
        <w:rPr>
          <w:b/>
          <w:bCs/>
        </w:rPr>
        <w:t xml:space="preserve"> in Methuen’s New Accents book series</w:t>
      </w:r>
      <w:r w:rsidR="00BE352E">
        <w:rPr>
          <w:b/>
          <w:bCs/>
        </w:rPr>
        <w:t xml:space="preserve"> in literary studies</w:t>
      </w:r>
      <w:r w:rsidR="00895CA8">
        <w:rPr>
          <w:b/>
          <w:bCs/>
        </w:rPr>
        <w:t xml:space="preserve"> for attention in my</w:t>
      </w:r>
      <w:r w:rsidR="00BE352E">
        <w:rPr>
          <w:b/>
          <w:bCs/>
        </w:rPr>
        <w:t xml:space="preserve"> present</w:t>
      </w:r>
      <w:r w:rsidR="00895CA8">
        <w:rPr>
          <w:b/>
          <w:bCs/>
        </w:rPr>
        <w:t xml:space="preserve"> bibliographic review.</w:t>
      </w:r>
      <w:r w:rsidR="00BE352E">
        <w:rPr>
          <w:b/>
          <w:bCs/>
        </w:rPr>
        <w:t xml:space="preserve"> In addition,</w:t>
      </w:r>
      <w:r w:rsidR="00895CA8">
        <w:rPr>
          <w:b/>
          <w:bCs/>
        </w:rPr>
        <w:t xml:space="preserve"> I have appropriated the word relationist for use here from Ong’s 1977 statement of what he himself styles as his relationist thesis about the history of the word in Western cultural history</w:t>
      </w:r>
      <w:r w:rsidR="00D3105B">
        <w:rPr>
          <w:b/>
          <w:bCs/>
        </w:rPr>
        <w:t xml:space="preserve"> (quoted in full and discussed below)</w:t>
      </w:r>
      <w:r w:rsidR="00895CA8">
        <w:rPr>
          <w:b/>
          <w:bCs/>
        </w:rPr>
        <w:t xml:space="preserve">. In brief, I suggest through my categorized and </w:t>
      </w:r>
      <w:r w:rsidR="00D3105B">
        <w:rPr>
          <w:b/>
          <w:bCs/>
        </w:rPr>
        <w:t>selectively</w:t>
      </w:r>
      <w:r w:rsidR="00895CA8">
        <w:rPr>
          <w:b/>
          <w:bCs/>
        </w:rPr>
        <w:t xml:space="preserve"> annotated bibliography</w:t>
      </w:r>
      <w:r w:rsidR="00D3105B">
        <w:rPr>
          <w:b/>
          <w:bCs/>
        </w:rPr>
        <w:t xml:space="preserve"> below</w:t>
      </w:r>
      <w:r w:rsidR="00895CA8">
        <w:rPr>
          <w:b/>
          <w:bCs/>
        </w:rPr>
        <w:t xml:space="preserve"> how</w:t>
      </w:r>
      <w:r w:rsidR="00D3105B">
        <w:rPr>
          <w:b/>
          <w:bCs/>
        </w:rPr>
        <w:t xml:space="preserve"> </w:t>
      </w:r>
      <w:r w:rsidR="00895CA8">
        <w:rPr>
          <w:b/>
          <w:bCs/>
        </w:rPr>
        <w:t>themes in Ong’s wor</w:t>
      </w:r>
      <w:r w:rsidR="007A5964">
        <w:rPr>
          <w:b/>
          <w:bCs/>
        </w:rPr>
        <w:t>k</w:t>
      </w:r>
      <w:r w:rsidR="00D3105B">
        <w:rPr>
          <w:b/>
          <w:bCs/>
        </w:rPr>
        <w:t xml:space="preserve"> can be further supported and amplified</w:t>
      </w:r>
      <w:r w:rsidR="007A5964">
        <w:rPr>
          <w:b/>
          <w:bCs/>
        </w:rPr>
        <w:t xml:space="preserve"> by what I am here styling as the relationist spirit that he himself followed in his mature work from the early 1950s onward</w:t>
      </w:r>
      <w:r w:rsidR="00D3105B">
        <w:rPr>
          <w:b/>
          <w:bCs/>
        </w:rPr>
        <w:t xml:space="preserve"> – in the hope of converting you to join with me as an Ong follower</w:t>
      </w:r>
      <w:r w:rsidR="007A5964">
        <w:rPr>
          <w:b/>
          <w:bCs/>
        </w:rPr>
        <w:t>.</w:t>
      </w:r>
    </w:p>
    <w:p w14:paraId="410A0697" w14:textId="7B5318F7" w:rsidR="009773C1" w:rsidRDefault="00D3105B" w:rsidP="000A0883">
      <w:pPr>
        <w:spacing w:line="480" w:lineRule="auto"/>
      </w:pPr>
      <w:r>
        <w:lastRenderedPageBreak/>
        <w:t>Now, t</w:t>
      </w:r>
      <w:r w:rsidR="00EF3A2F">
        <w:t>he American Jesuit</w:t>
      </w:r>
      <w:r w:rsidR="009A7D2B">
        <w:t xml:space="preserve"> Renaissance specialist and</w:t>
      </w:r>
      <w:r w:rsidR="00F869FB">
        <w:t xml:space="preserve"> pioneering media ecologist</w:t>
      </w:r>
      <w:r w:rsidR="00EF3A2F">
        <w:t xml:space="preserve"> Walter J. Ong (1912-2003; Ph.D. in English, Harvard University, 1955)</w:t>
      </w:r>
      <w:r w:rsidR="00C453B1">
        <w:t xml:space="preserve"> published his</w:t>
      </w:r>
      <w:r w:rsidR="007A5964">
        <w:t xml:space="preserve"> summative</w:t>
      </w:r>
      <w:r w:rsidR="00C453B1">
        <w:t xml:space="preserve"> book</w:t>
      </w:r>
      <w:r w:rsidR="00EF3A2F">
        <w:t xml:space="preserve"> </w:t>
      </w:r>
      <w:r w:rsidR="00C453B1">
        <w:rPr>
          <w:i/>
          <w:iCs/>
        </w:rPr>
        <w:t xml:space="preserve">Orality and Literacy: </w:t>
      </w:r>
      <w:r w:rsidR="0018153B">
        <w:rPr>
          <w:i/>
          <w:iCs/>
        </w:rPr>
        <w:t>T</w:t>
      </w:r>
      <w:r w:rsidR="00C453B1">
        <w:rPr>
          <w:i/>
          <w:iCs/>
        </w:rPr>
        <w:t>he Technologizing of the Word</w:t>
      </w:r>
      <w:r w:rsidR="00C453B1">
        <w:t xml:space="preserve"> in</w:t>
      </w:r>
      <w:r w:rsidR="00341ABC">
        <w:t xml:space="preserve"> Methuen’s New Accents book series</w:t>
      </w:r>
      <w:r>
        <w:t xml:space="preserve"> in literary</w:t>
      </w:r>
      <w:r w:rsidR="00D067E9">
        <w:t xml:space="preserve"> studies</w:t>
      </w:r>
      <w:r w:rsidR="00341ABC">
        <w:t xml:space="preserve"> in</w:t>
      </w:r>
      <w:r w:rsidR="00C453B1">
        <w:t xml:space="preserve"> 1982</w:t>
      </w:r>
      <w:r w:rsidR="00D27A4A">
        <w:t>.</w:t>
      </w:r>
      <w:r>
        <w:t xml:space="preserve"> In 1978, Ong served as the elected president of the Modern Language Association of America (known simply as MLA). His 1982 summative book </w:t>
      </w:r>
      <w:r w:rsidR="00C453B1">
        <w:t>is his most widely read</w:t>
      </w:r>
      <w:r>
        <w:t xml:space="preserve"> book --</w:t>
      </w:r>
      <w:r w:rsidR="00C453B1">
        <w:t xml:space="preserve"> and his most widely translated book. It has been translated into eleven other languages.</w:t>
      </w:r>
    </w:p>
    <w:p w14:paraId="26E2CEC4" w14:textId="77777777" w:rsidR="00D67C0C" w:rsidRDefault="00D27A4A" w:rsidP="000A0883">
      <w:pPr>
        <w:spacing w:line="480" w:lineRule="auto"/>
      </w:pPr>
      <w:r>
        <w:t>Thomas M. Walsh has compiled a complete bibliography of Ong’s 400 or so</w:t>
      </w:r>
      <w:r w:rsidR="009A7D2B">
        <w:t xml:space="preserve"> distinct</w:t>
      </w:r>
      <w:r>
        <w:t xml:space="preserve"> publications</w:t>
      </w:r>
      <w:r w:rsidR="009A7D2B">
        <w:t xml:space="preserve"> (not counting translations and reprintings</w:t>
      </w:r>
      <w:r w:rsidR="00D67C0C">
        <w:t xml:space="preserve"> as distinct publications</w:t>
      </w:r>
      <w:r w:rsidR="009A7D2B">
        <w:t>)</w:t>
      </w:r>
      <w:r w:rsidR="00D67C0C">
        <w:t xml:space="preserve"> in</w:t>
      </w:r>
      <w:r>
        <w:t xml:space="preserve"> “Walter J. Ong, S.J.: A Bibliography 1929-2006” in </w:t>
      </w:r>
      <w:r w:rsidRPr="00581CC2">
        <w:rPr>
          <w:i/>
        </w:rPr>
        <w:t>Language, Culture, and Identity: The Legacy of Walter J. Ong, S.J.</w:t>
      </w:r>
      <w:r>
        <w:t>, edited by Sara van den Berg and</w:t>
      </w:r>
      <w:r w:rsidR="009A7D2B">
        <w:t xml:space="preserve"> Thomas M.</w:t>
      </w:r>
      <w:r>
        <w:t xml:space="preserve"> Walsh (Hampton P</w:t>
      </w:r>
      <w:r w:rsidR="00D67C0C">
        <w:t>ress</w:t>
      </w:r>
      <w:r>
        <w:t>, 2011, pp. 185-245).</w:t>
      </w:r>
    </w:p>
    <w:p w14:paraId="322F086C" w14:textId="48CAC189" w:rsidR="006D65EE" w:rsidRDefault="005959B8" w:rsidP="000A0883">
      <w:pPr>
        <w:spacing w:line="480" w:lineRule="auto"/>
      </w:pPr>
      <w:r>
        <w:t>Thomas J. Farrell’s 2015</w:t>
      </w:r>
      <w:r w:rsidR="00D27A4A">
        <w:t xml:space="preserve"> book </w:t>
      </w:r>
      <w:r w:rsidR="00D27A4A">
        <w:rPr>
          <w:i/>
        </w:rPr>
        <w:t>Walter Ong’s Contributions to Cultural Studies: The P</w:t>
      </w:r>
      <w:r w:rsidR="00550172">
        <w:rPr>
          <w:i/>
        </w:rPr>
        <w:t>h</w:t>
      </w:r>
      <w:r w:rsidR="00D27A4A">
        <w:rPr>
          <w:i/>
        </w:rPr>
        <w:t>enomenology of the Word and I-Thou Communication</w:t>
      </w:r>
      <w:r w:rsidR="00D27A4A">
        <w:t>, 2nd ed. (Hampton P</w:t>
      </w:r>
      <w:r w:rsidR="00D67C0C">
        <w:t>ress</w:t>
      </w:r>
      <w:r>
        <w:t>)</w:t>
      </w:r>
      <w:r w:rsidR="00D27A4A">
        <w:t xml:space="preserve"> </w:t>
      </w:r>
      <w:r w:rsidR="00D67C0C">
        <w:t>survey</w:t>
      </w:r>
      <w:r>
        <w:t>s</w:t>
      </w:r>
      <w:r w:rsidR="00D27A4A">
        <w:t xml:space="preserve"> Ong’s</w:t>
      </w:r>
      <w:r w:rsidR="00DD16C8">
        <w:t xml:space="preserve"> life</w:t>
      </w:r>
      <w:r w:rsidR="00D67C0C">
        <w:t xml:space="preserve"> and eleven of his books and selected articles. The first edition in 2000 received the 2001 Marshall McLuhan Award for the Outstanding Book in the Field of Media Ecology from the Media Ecology Association</w:t>
      </w:r>
      <w:r w:rsidR="006D65EE">
        <w:t xml:space="preserve"> (MEA)</w:t>
      </w:r>
      <w:r w:rsidR="00D67C0C">
        <w:t>.</w:t>
      </w:r>
    </w:p>
    <w:p w14:paraId="1DE1286F" w14:textId="31D0CC01" w:rsidR="00D67C0C" w:rsidRDefault="006D65EE" w:rsidP="000A0883">
      <w:pPr>
        <w:spacing w:line="480" w:lineRule="auto"/>
      </w:pPr>
      <w:r>
        <w:t>The MEA is a comparatively small professional organization – compared to the MLA. Nevertheless, the field of communication and media studies may be as extensive in American colleges and universities today as the field of literary studies.</w:t>
      </w:r>
    </w:p>
    <w:p w14:paraId="354A403A" w14:textId="06273BCE" w:rsidR="00E114FC" w:rsidRDefault="007A5964" w:rsidP="000A0883">
      <w:pPr>
        <w:spacing w:line="480" w:lineRule="auto"/>
      </w:pPr>
      <w:r>
        <w:t>Ong is generally acknowledged and honored as a pioneering media ecology theorist by</w:t>
      </w:r>
      <w:r w:rsidR="00E114FC">
        <w:t xml:space="preserve"> MEA</w:t>
      </w:r>
      <w:r>
        <w:t xml:space="preserve"> members</w:t>
      </w:r>
      <w:r w:rsidR="00E114FC">
        <w:t>. MEA members today understandably also see</w:t>
      </w:r>
      <w:r>
        <w:t xml:space="preserve"> Marshall McLuhan (1911-1980; Ph.D. in English, Cambridge University, 1943) and Neil Postman (</w:t>
      </w:r>
      <w:r w:rsidR="009720C0">
        <w:t>1931-2003; Ph.D. in education, Columbia University, 1958)</w:t>
      </w:r>
      <w:r>
        <w:t xml:space="preserve"> </w:t>
      </w:r>
      <w:r w:rsidR="00E114FC">
        <w:t xml:space="preserve">as pioneering </w:t>
      </w:r>
      <w:r>
        <w:t>media ecology theorists</w:t>
      </w:r>
      <w:r w:rsidR="00E114FC">
        <w:t xml:space="preserve"> – along with </w:t>
      </w:r>
      <w:r>
        <w:t>Ong.</w:t>
      </w:r>
      <w:r w:rsidR="0017448F">
        <w:t xml:space="preserve"> No doubt more scholars in the field of communication and media studies in American colleges and universities have read more works by McLuhan and Postman than works by Ong, even though his 1982 summative book has been widely read.</w:t>
      </w:r>
    </w:p>
    <w:p w14:paraId="2A2E0655" w14:textId="62BB9986" w:rsidR="0017448F" w:rsidRPr="00910FD4" w:rsidRDefault="0017448F" w:rsidP="000A0883">
      <w:pPr>
        <w:spacing w:line="480" w:lineRule="auto"/>
      </w:pPr>
      <w:r>
        <w:lastRenderedPageBreak/>
        <w:t xml:space="preserve">Ong is a Roman Catholic priest – thus far, the only Roman Catholic priest ever elected MLA president. In addition, some of his essays and books focus on religion and religious studies – for example, his beautiful 1967 seminal book </w:t>
      </w:r>
      <w:r>
        <w:rPr>
          <w:i/>
          <w:iCs/>
        </w:rPr>
        <w:t>The Presence of the Word: Some Prolegomena for Cultural and Religious History</w:t>
      </w:r>
      <w:r w:rsidR="00910FD4">
        <w:t xml:space="preserve"> (Yale University Press), the expanded version of Ong’s 1964 </w:t>
      </w:r>
      <w:r w:rsidR="00456A03">
        <w:t>T</w:t>
      </w:r>
      <w:r w:rsidR="00910FD4">
        <w:t xml:space="preserve">erry Lectures at Yale University, and his 1986 book </w:t>
      </w:r>
      <w:r w:rsidR="00910FD4">
        <w:rPr>
          <w:i/>
          <w:iCs/>
        </w:rPr>
        <w:t>Hopkins, the Self, and God</w:t>
      </w:r>
      <w:r w:rsidR="00910FD4">
        <w:t xml:space="preserve"> (University of Toronto Press)</w:t>
      </w:r>
      <w:r w:rsidR="00456A03">
        <w:t>, Ong’s 1981 Alexander Lectures at the University of Toronto</w:t>
      </w:r>
      <w:r w:rsidR="00910FD4">
        <w:t>.</w:t>
      </w:r>
    </w:p>
    <w:p w14:paraId="5F43FAF0" w14:textId="6A58FE4E" w:rsidR="009720C0" w:rsidRDefault="00E114FC" w:rsidP="000A0883">
      <w:pPr>
        <w:spacing w:line="480" w:lineRule="auto"/>
      </w:pPr>
      <w:r>
        <w:t xml:space="preserve">In any event, as a media ecology theorist myself, </w:t>
      </w:r>
      <w:r w:rsidR="009720C0">
        <w:t xml:space="preserve">I have followed Ong’s relationist spirit, to the best of my ability, in my own publications, including in the present bibliographic review in which </w:t>
      </w:r>
      <w:r w:rsidR="00ED0057">
        <w:t xml:space="preserve">I highlight five themes in Ong’s 1982 book </w:t>
      </w:r>
      <w:r w:rsidR="00ED0057">
        <w:rPr>
          <w:i/>
          <w:iCs/>
        </w:rPr>
        <w:t>Orality and Literacy: The Technologizing of the Word</w:t>
      </w:r>
      <w:r w:rsidR="00341ABC">
        <w:t>.</w:t>
      </w:r>
      <w:r w:rsidR="009720C0">
        <w:t xml:space="preserve"> However, despite whatever merit my publications may have, I surely have not exhausted the possibilities of Ong’s relationist spirit – which is my rationale for writing the present bibliographic review for</w:t>
      </w:r>
      <w:r>
        <w:t xml:space="preserve"> your edification in the hope of perhaps converting you to also become</w:t>
      </w:r>
      <w:r w:rsidR="00D067E9">
        <w:t xml:space="preserve"> another Ong follower – along with me</w:t>
      </w:r>
      <w:r w:rsidR="00910FD4">
        <w:t xml:space="preserve"> – in following Ong’s expansive relationist spirit</w:t>
      </w:r>
      <w:r w:rsidR="00D067E9">
        <w:t>.</w:t>
      </w:r>
    </w:p>
    <w:p w14:paraId="76B59A51" w14:textId="45A7E72A" w:rsidR="008A3FDE" w:rsidRDefault="008A3FDE" w:rsidP="000A0883">
      <w:pPr>
        <w:spacing w:line="480" w:lineRule="auto"/>
      </w:pPr>
      <w:r>
        <w:t xml:space="preserve">In addition, I should note here Ong’s own practice in compiling the “References” in his 1986 book </w:t>
      </w:r>
      <w:r>
        <w:rPr>
          <w:i/>
          <w:iCs/>
        </w:rPr>
        <w:t>Hopkins, the Self, and God</w:t>
      </w:r>
      <w:r>
        <w:t xml:space="preserve"> (University of Toronto Press, 1986, pp. 161-172). In it, Ong lists several books that he does not refer to in the text of his book – books that further develop his theme of the inward turn of consciousness.</w:t>
      </w:r>
    </w:p>
    <w:p w14:paraId="64613974" w14:textId="2E8A42CA" w:rsidR="00065296" w:rsidRDefault="009720C0" w:rsidP="000A0883">
      <w:pPr>
        <w:spacing w:line="480" w:lineRule="auto"/>
      </w:pPr>
      <w:r>
        <w:t>Now, i</w:t>
      </w:r>
      <w:r w:rsidR="00341ABC">
        <w:t xml:space="preserve">n Ong’s frequently cited 1975 </w:t>
      </w:r>
      <w:r w:rsidR="00341ABC">
        <w:rPr>
          <w:i/>
          <w:iCs/>
        </w:rPr>
        <w:t>PMLA</w:t>
      </w:r>
      <w:r w:rsidR="00341ABC">
        <w:t xml:space="preserve"> article “The Writer’s Audience is Always a Fiction,” he astutely discusses how various authors have constructed their fictional audiences. In the present bibliographic review, </w:t>
      </w:r>
      <w:r w:rsidR="00ED0057">
        <w:t>I assume that you have read</w:t>
      </w:r>
      <w:r w:rsidR="00341ABC">
        <w:t xml:space="preserve"> Ong’s 1982</w:t>
      </w:r>
      <w:r w:rsidR="00D067E9">
        <w:t xml:space="preserve"> summative</w:t>
      </w:r>
      <w:r w:rsidR="00341ABC">
        <w:t xml:space="preserve"> book</w:t>
      </w:r>
      <w:r w:rsidR="00ED0057">
        <w:t xml:space="preserve"> and that you might be interested in knowing where else in Ong’s publications he also discusses each theme and that you also might be interested in knowing where else in works by other authors each theme is discussed</w:t>
      </w:r>
      <w:r w:rsidR="00341ABC">
        <w:t xml:space="preserve"> – in most cases independently of any acknowledged influence by Ong. In any event, t</w:t>
      </w:r>
      <w:r w:rsidR="00396487">
        <w:t>he five themes</w:t>
      </w:r>
      <w:r w:rsidR="00DC1FE6">
        <w:t xml:space="preserve"> in Ong’s 1982</w:t>
      </w:r>
      <w:r w:rsidR="00D067E9">
        <w:t xml:space="preserve"> </w:t>
      </w:r>
      <w:r w:rsidR="00D067E9">
        <w:lastRenderedPageBreak/>
        <w:t>summative</w:t>
      </w:r>
      <w:r w:rsidR="00DC1FE6">
        <w:t xml:space="preserve"> book that I have selected for attention here</w:t>
      </w:r>
      <w:r w:rsidR="00396487">
        <w:t xml:space="preserve"> are the following</w:t>
      </w:r>
      <w:r w:rsidR="00305F17">
        <w:t xml:space="preserve"> (with the relevant pages in </w:t>
      </w:r>
      <w:r w:rsidR="00D067E9">
        <w:t>his</w:t>
      </w:r>
      <w:r w:rsidR="00305F17">
        <w:t xml:space="preserve"> 1982</w:t>
      </w:r>
      <w:r w:rsidR="00D067E9">
        <w:t xml:space="preserve"> summative</w:t>
      </w:r>
      <w:r w:rsidR="00305F17">
        <w:t xml:space="preserve"> book)</w:t>
      </w:r>
      <w:r w:rsidR="00396487">
        <w:t>:</w:t>
      </w:r>
    </w:p>
    <w:p w14:paraId="00E604D7" w14:textId="15DC5B71" w:rsidR="00065296" w:rsidRPr="003201D1" w:rsidRDefault="00065296" w:rsidP="000A0883">
      <w:pPr>
        <w:spacing w:line="480" w:lineRule="auto"/>
        <w:rPr>
          <w:b/>
        </w:rPr>
      </w:pPr>
      <w:r w:rsidRPr="003201D1">
        <w:rPr>
          <w:b/>
        </w:rPr>
        <w:t>(I) V</w:t>
      </w:r>
      <w:r w:rsidR="00CF1D34" w:rsidRPr="003201D1">
        <w:rPr>
          <w:b/>
        </w:rPr>
        <w:t>isuality</w:t>
      </w:r>
      <w:r w:rsidR="00305F17">
        <w:rPr>
          <w:b/>
        </w:rPr>
        <w:t xml:space="preserve"> (pp. 11</w:t>
      </w:r>
      <w:r w:rsidR="00092D39">
        <w:rPr>
          <w:b/>
        </w:rPr>
        <w:t>7</w:t>
      </w:r>
      <w:r w:rsidR="00305F17">
        <w:rPr>
          <w:b/>
        </w:rPr>
        <w:t>-12</w:t>
      </w:r>
      <w:r w:rsidR="00092D39">
        <w:rPr>
          <w:b/>
        </w:rPr>
        <w:t>3</w:t>
      </w:r>
      <w:r w:rsidR="00305F17">
        <w:rPr>
          <w:b/>
        </w:rPr>
        <w:t>)</w:t>
      </w:r>
    </w:p>
    <w:p w14:paraId="13545C96" w14:textId="03B2DDD1" w:rsidR="00065296" w:rsidRPr="003201D1" w:rsidRDefault="00065296" w:rsidP="000A0883">
      <w:pPr>
        <w:spacing w:line="480" w:lineRule="auto"/>
        <w:rPr>
          <w:b/>
        </w:rPr>
      </w:pPr>
      <w:r w:rsidRPr="003201D1">
        <w:rPr>
          <w:b/>
        </w:rPr>
        <w:t>(II) O</w:t>
      </w:r>
      <w:r w:rsidR="00CF1D34" w:rsidRPr="003201D1">
        <w:rPr>
          <w:b/>
        </w:rPr>
        <w:t>rality</w:t>
      </w:r>
      <w:r w:rsidR="00305F17">
        <w:rPr>
          <w:b/>
        </w:rPr>
        <w:t xml:space="preserve"> (pp. 1-7</w:t>
      </w:r>
      <w:r w:rsidR="001E2C82">
        <w:rPr>
          <w:b/>
        </w:rPr>
        <w:t>7</w:t>
      </w:r>
      <w:r w:rsidR="00305F17">
        <w:rPr>
          <w:b/>
        </w:rPr>
        <w:t>)</w:t>
      </w:r>
    </w:p>
    <w:p w14:paraId="2670ADFA" w14:textId="75BCA7CD" w:rsidR="00065296" w:rsidRPr="003201D1" w:rsidRDefault="00065296" w:rsidP="000A0883">
      <w:pPr>
        <w:spacing w:line="480" w:lineRule="auto"/>
        <w:rPr>
          <w:b/>
        </w:rPr>
      </w:pPr>
      <w:r w:rsidRPr="003201D1">
        <w:rPr>
          <w:b/>
        </w:rPr>
        <w:t>(III) C</w:t>
      </w:r>
      <w:r w:rsidR="00CF1D34" w:rsidRPr="003201D1">
        <w:rPr>
          <w:b/>
        </w:rPr>
        <w:t xml:space="preserve">ommonplaces and </w:t>
      </w:r>
      <w:r w:rsidRPr="003201D1">
        <w:rPr>
          <w:b/>
        </w:rPr>
        <w:t>C</w:t>
      </w:r>
      <w:r w:rsidR="00CF1D34" w:rsidRPr="003201D1">
        <w:rPr>
          <w:b/>
        </w:rPr>
        <w:t xml:space="preserve">omposing </w:t>
      </w:r>
      <w:r w:rsidRPr="003201D1">
        <w:rPr>
          <w:b/>
        </w:rPr>
        <w:t>P</w:t>
      </w:r>
      <w:r w:rsidR="00CF1D34" w:rsidRPr="003201D1">
        <w:rPr>
          <w:b/>
        </w:rPr>
        <w:t>rocesses</w:t>
      </w:r>
      <w:r w:rsidR="00305F17">
        <w:rPr>
          <w:b/>
        </w:rPr>
        <w:t xml:space="preserve"> (pp. 10</w:t>
      </w:r>
      <w:r w:rsidR="0054220A">
        <w:rPr>
          <w:b/>
        </w:rPr>
        <w:t>8</w:t>
      </w:r>
      <w:r w:rsidR="00305F17">
        <w:rPr>
          <w:b/>
        </w:rPr>
        <w:t>-11</w:t>
      </w:r>
      <w:r w:rsidR="0054220A">
        <w:rPr>
          <w:b/>
        </w:rPr>
        <w:t>2</w:t>
      </w:r>
      <w:r w:rsidR="00305F17">
        <w:rPr>
          <w:b/>
        </w:rPr>
        <w:t xml:space="preserve">) </w:t>
      </w:r>
    </w:p>
    <w:p w14:paraId="4BCF19BD" w14:textId="48D0CD4E" w:rsidR="00065296" w:rsidRPr="003201D1" w:rsidRDefault="00065296" w:rsidP="000A0883">
      <w:pPr>
        <w:spacing w:line="480" w:lineRule="auto"/>
        <w:rPr>
          <w:b/>
        </w:rPr>
      </w:pPr>
      <w:r w:rsidRPr="003201D1">
        <w:rPr>
          <w:b/>
        </w:rPr>
        <w:t>(IV) A</w:t>
      </w:r>
      <w:r w:rsidR="00CF1D34" w:rsidRPr="003201D1">
        <w:rPr>
          <w:b/>
        </w:rPr>
        <w:t xml:space="preserve">gonistic </w:t>
      </w:r>
      <w:r w:rsidRPr="003201D1">
        <w:rPr>
          <w:b/>
        </w:rPr>
        <w:t>S</w:t>
      </w:r>
      <w:r w:rsidR="00CF1D34" w:rsidRPr="003201D1">
        <w:rPr>
          <w:b/>
        </w:rPr>
        <w:t>tructures</w:t>
      </w:r>
      <w:r w:rsidR="00305F17">
        <w:rPr>
          <w:b/>
        </w:rPr>
        <w:t xml:space="preserve"> (pp. 4</w:t>
      </w:r>
      <w:r w:rsidR="00EE2035">
        <w:rPr>
          <w:b/>
        </w:rPr>
        <w:t>3</w:t>
      </w:r>
      <w:r w:rsidR="00305F17">
        <w:rPr>
          <w:b/>
        </w:rPr>
        <w:t>-45 and 69-7</w:t>
      </w:r>
      <w:r w:rsidR="00E346E7">
        <w:rPr>
          <w:b/>
        </w:rPr>
        <w:t>1</w:t>
      </w:r>
      <w:r w:rsidR="00305F17">
        <w:rPr>
          <w:b/>
        </w:rPr>
        <w:t>)</w:t>
      </w:r>
    </w:p>
    <w:p w14:paraId="631B358C" w14:textId="42171E5F" w:rsidR="00065296" w:rsidRPr="003201D1" w:rsidRDefault="00065296" w:rsidP="000A0883">
      <w:pPr>
        <w:spacing w:line="480" w:lineRule="auto"/>
        <w:rPr>
          <w:b/>
        </w:rPr>
      </w:pPr>
      <w:r w:rsidRPr="003201D1">
        <w:rPr>
          <w:b/>
        </w:rPr>
        <w:t>(V)</w:t>
      </w:r>
      <w:r w:rsidR="00CF1D34" w:rsidRPr="003201D1">
        <w:rPr>
          <w:b/>
        </w:rPr>
        <w:t xml:space="preserve"> </w:t>
      </w:r>
      <w:r w:rsidRPr="003201D1">
        <w:rPr>
          <w:b/>
        </w:rPr>
        <w:t>T</w:t>
      </w:r>
      <w:r w:rsidR="00CF1D34" w:rsidRPr="003201D1">
        <w:rPr>
          <w:b/>
        </w:rPr>
        <w:t xml:space="preserve">he </w:t>
      </w:r>
      <w:r w:rsidRPr="003201D1">
        <w:rPr>
          <w:b/>
        </w:rPr>
        <w:t>I</w:t>
      </w:r>
      <w:r w:rsidR="00CF1D34" w:rsidRPr="003201D1">
        <w:rPr>
          <w:b/>
        </w:rPr>
        <w:t xml:space="preserve">nward </w:t>
      </w:r>
      <w:r w:rsidRPr="003201D1">
        <w:rPr>
          <w:b/>
        </w:rPr>
        <w:t>T</w:t>
      </w:r>
      <w:r w:rsidR="00CF1D34" w:rsidRPr="003201D1">
        <w:rPr>
          <w:b/>
        </w:rPr>
        <w:t xml:space="preserve">urn of </w:t>
      </w:r>
      <w:r w:rsidRPr="003201D1">
        <w:rPr>
          <w:b/>
        </w:rPr>
        <w:t>C</w:t>
      </w:r>
      <w:r w:rsidR="00CF1D34" w:rsidRPr="003201D1">
        <w:rPr>
          <w:b/>
        </w:rPr>
        <w:t>onsciousness</w:t>
      </w:r>
      <w:r w:rsidR="00305F17">
        <w:rPr>
          <w:b/>
        </w:rPr>
        <w:t xml:space="preserve"> (pp. 17</w:t>
      </w:r>
      <w:r w:rsidR="00E346E7">
        <w:rPr>
          <w:b/>
        </w:rPr>
        <w:t>8</w:t>
      </w:r>
      <w:r w:rsidR="00305F17">
        <w:rPr>
          <w:b/>
        </w:rPr>
        <w:t>-17</w:t>
      </w:r>
      <w:r w:rsidR="00E346E7">
        <w:rPr>
          <w:b/>
        </w:rPr>
        <w:t>9</w:t>
      </w:r>
      <w:r w:rsidR="00305F17">
        <w:rPr>
          <w:b/>
        </w:rPr>
        <w:t>)</w:t>
      </w:r>
    </w:p>
    <w:p w14:paraId="6F3610E0" w14:textId="27E0A410" w:rsidR="00E13D9F" w:rsidRDefault="00CF1D34" w:rsidP="000A0883">
      <w:pPr>
        <w:spacing w:line="480" w:lineRule="auto"/>
      </w:pPr>
      <w:r>
        <w:t xml:space="preserve">To be sure, Ong in </w:t>
      </w:r>
      <w:r w:rsidR="00E346E7">
        <w:t>his</w:t>
      </w:r>
      <w:r w:rsidR="000812C9">
        <w:t xml:space="preserve"> 1982</w:t>
      </w:r>
      <w:r w:rsidR="00D067E9">
        <w:t xml:space="preserve"> summative</w:t>
      </w:r>
      <w:r>
        <w:t xml:space="preserve"> book also discusses certain other recurring themes in his thought</w:t>
      </w:r>
      <w:r w:rsidR="00ED0057">
        <w:t>, so the present bibliographic essay is somewhat selective in highlighting these five themes</w:t>
      </w:r>
      <w:r>
        <w:t>. Moreover, in his wide-ranging body of work, he discusses numerous other recurring themes (e.g.,</w:t>
      </w:r>
      <w:r w:rsidR="009A7D2B">
        <w:t xml:space="preserve"> the Spanish Renaissance mystic</w:t>
      </w:r>
      <w:r>
        <w:t xml:space="preserve"> St. Ignatius Loyola,</w:t>
      </w:r>
      <w:r w:rsidR="00337E43">
        <w:t xml:space="preserve"> S.J.;</w:t>
      </w:r>
      <w:r w:rsidR="009A7D2B">
        <w:t xml:space="preserve"> the French Jesuit paleontologist and spiritual writer</w:t>
      </w:r>
      <w:r w:rsidR="005C2F78">
        <w:t xml:space="preserve"> Pierre Teilhard de Chardin, S.J.</w:t>
      </w:r>
      <w:r w:rsidR="00337E43">
        <w:t>;</w:t>
      </w:r>
      <w:r w:rsidR="009A7D2B">
        <w:t xml:space="preserve"> the Victorian Jesuit poet</w:t>
      </w:r>
      <w:r>
        <w:t xml:space="preserve"> Gerard Manley Hopkins,</w:t>
      </w:r>
      <w:r w:rsidR="005C2F78">
        <w:t xml:space="preserve"> S.J.</w:t>
      </w:r>
      <w:r w:rsidR="00337E43">
        <w:t>;</w:t>
      </w:r>
      <w:r w:rsidR="009A7D2B">
        <w:t xml:space="preserve"> the English Renaissance poet and pamphleteer</w:t>
      </w:r>
      <w:r>
        <w:t xml:space="preserve"> John Milton</w:t>
      </w:r>
      <w:r w:rsidR="00337E43">
        <w:t>;</w:t>
      </w:r>
      <w:r w:rsidR="009A7D2B">
        <w:t xml:space="preserve"> </w:t>
      </w:r>
      <w:r w:rsidR="00ED0057">
        <w:t>t</w:t>
      </w:r>
      <w:r w:rsidR="009A7D2B">
        <w:t>he American-born modernist poet</w:t>
      </w:r>
      <w:r w:rsidR="00337E43">
        <w:t xml:space="preserve"> and influential literary critic</w:t>
      </w:r>
      <w:r w:rsidR="00550172">
        <w:t xml:space="preserve"> T. S. Eliot</w:t>
      </w:r>
      <w:r>
        <w:t>).</w:t>
      </w:r>
      <w:r w:rsidR="00AF1233">
        <w:t xml:space="preserve"> But the five recurring themes that I have selected for th</w:t>
      </w:r>
      <w:r w:rsidR="005C2F78">
        <w:t>e present</w:t>
      </w:r>
      <w:r w:rsidR="00AF1233">
        <w:t xml:space="preserve"> bibliographic </w:t>
      </w:r>
      <w:r w:rsidR="00396487">
        <w:t>review</w:t>
      </w:r>
      <w:r w:rsidR="005C2F78">
        <w:t xml:space="preserve"> are</w:t>
      </w:r>
      <w:r w:rsidR="00AF1233">
        <w:t xml:space="preserve"> arguably the most important themes in </w:t>
      </w:r>
      <w:r w:rsidR="00337E43">
        <w:t>Ong’s</w:t>
      </w:r>
      <w:r w:rsidR="00AF1233">
        <w:t xml:space="preserve"> work.</w:t>
      </w:r>
    </w:p>
    <w:p w14:paraId="083255D1" w14:textId="77777777" w:rsidR="004830B3" w:rsidRDefault="004830B3" w:rsidP="000A0883">
      <w:pPr>
        <w:spacing w:line="480" w:lineRule="auto"/>
      </w:pPr>
    </w:p>
    <w:p w14:paraId="00CBA174" w14:textId="49284C55" w:rsidR="00D27A4A" w:rsidRPr="00951A4E" w:rsidRDefault="00DF1EAD" w:rsidP="000A0883">
      <w:pPr>
        <w:spacing w:line="480" w:lineRule="auto"/>
        <w:rPr>
          <w:u w:val="single"/>
        </w:rPr>
      </w:pPr>
      <w:r w:rsidRPr="00951A4E">
        <w:rPr>
          <w:b/>
          <w:u w:val="single"/>
        </w:rPr>
        <w:t>Theme</w:t>
      </w:r>
      <w:r w:rsidR="00D84E2E">
        <w:rPr>
          <w:b/>
          <w:u w:val="single"/>
        </w:rPr>
        <w:t xml:space="preserve"> I</w:t>
      </w:r>
      <w:r w:rsidRPr="00951A4E">
        <w:rPr>
          <w:b/>
          <w:u w:val="single"/>
        </w:rPr>
        <w:t>: Visuality</w:t>
      </w:r>
      <w:r w:rsidR="001F40FD">
        <w:rPr>
          <w:b/>
          <w:u w:val="single"/>
        </w:rPr>
        <w:t xml:space="preserve"> (Ong, 1982, pp.117-123)</w:t>
      </w:r>
    </w:p>
    <w:p w14:paraId="1EFD7D44" w14:textId="77777777" w:rsidR="00EF3A2F" w:rsidRDefault="00EF3A2F" w:rsidP="000A0883">
      <w:pPr>
        <w:spacing w:line="480" w:lineRule="auto"/>
      </w:pPr>
    </w:p>
    <w:p w14:paraId="7DBB4DED" w14:textId="26B7F8B7" w:rsidR="00DF1EAD" w:rsidRDefault="00DF1EAD" w:rsidP="000A0883">
      <w:pPr>
        <w:spacing w:line="480" w:lineRule="auto"/>
        <w:ind w:left="720" w:hanging="720"/>
      </w:pPr>
      <w:r>
        <w:t>(</w:t>
      </w:r>
      <w:r w:rsidR="00E2298B">
        <w:t>1</w:t>
      </w:r>
      <w:r>
        <w:t xml:space="preserve">) Ong’s </w:t>
      </w:r>
      <w:r>
        <w:rPr>
          <w:i/>
        </w:rPr>
        <w:t>Ramus, Method, and the Decay of Dialogue: From the Art of Discourse to the Art of Reason</w:t>
      </w:r>
      <w:r>
        <w:t xml:space="preserve"> (</w:t>
      </w:r>
      <w:r w:rsidR="00B514B3">
        <w:t xml:space="preserve">Harvard University Press, </w:t>
      </w:r>
      <w:r>
        <w:t>1958).</w:t>
      </w:r>
      <w:r w:rsidR="00E41F44">
        <w:t xml:space="preserve"> What Ong refers to in his massively researched 1958 book as the aural</w:t>
      </w:r>
      <w:r w:rsidR="00E346E7">
        <w:t>-</w:t>
      </w:r>
      <w:r w:rsidR="00E41F44">
        <w:t>to</w:t>
      </w:r>
      <w:r w:rsidR="00E346E7">
        <w:t>-</w:t>
      </w:r>
      <w:r w:rsidR="00E41F44">
        <w:t xml:space="preserve">visual shift </w:t>
      </w:r>
      <w:r w:rsidR="00F351B9">
        <w:t xml:space="preserve">in Western cultural history </w:t>
      </w:r>
      <w:r w:rsidR="00E41F44">
        <w:t xml:space="preserve">involves the shift from what he refers to in </w:t>
      </w:r>
      <w:r w:rsidR="00E41F44">
        <w:lastRenderedPageBreak/>
        <w:t>his 1969 essay as the shift from the world-as-event sense of life to the world as view sense of life</w:t>
      </w:r>
      <w:r w:rsidR="00E346E7">
        <w:t xml:space="preserve"> (for specific page references to the aural-to-visual shift, see the “Index” [p. </w:t>
      </w:r>
      <w:r w:rsidR="00F351B9">
        <w:t>396</w:t>
      </w:r>
      <w:r w:rsidR="00E346E7">
        <w:t>])</w:t>
      </w:r>
      <w:r w:rsidR="00E41F44">
        <w:t>.</w:t>
      </w:r>
      <w:r w:rsidR="00D067E9">
        <w:t xml:space="preserve"> What Ong refers to in the subtitle as the Art of Reason extends from Ramus and his followers into the Age of Reason (also known as the Enlightenment) and the prestige philosophical tradition (e.g., Descartes). Thus, for Ong, the Art of Discourse includes ancient and medieval philosophical (and theological) discourse in Western cultural history.</w:t>
      </w:r>
    </w:p>
    <w:p w14:paraId="71FBE4EA" w14:textId="59225F78" w:rsidR="00855C2C" w:rsidRPr="00164304" w:rsidRDefault="00340769" w:rsidP="000A0883">
      <w:pPr>
        <w:spacing w:line="480" w:lineRule="auto"/>
        <w:ind w:left="720" w:hanging="720"/>
      </w:pPr>
      <w:r>
        <w:t>(</w:t>
      </w:r>
      <w:r w:rsidR="00E2298B">
        <w:t>2</w:t>
      </w:r>
      <w:r>
        <w:t xml:space="preserve">) Ong’s </w:t>
      </w:r>
      <w:r>
        <w:rPr>
          <w:i/>
        </w:rPr>
        <w:t>The Barbarian Within: And Other Fugitive Essays and Studies</w:t>
      </w:r>
      <w:r>
        <w:t xml:space="preserve"> (</w:t>
      </w:r>
      <w:r w:rsidR="00B514B3">
        <w:t xml:space="preserve">Macmillan, </w:t>
      </w:r>
      <w:r>
        <w:t>1962).</w:t>
      </w:r>
      <w:r w:rsidR="009F66E1">
        <w:t xml:space="preserve"> In it, Ong says the following: </w:t>
      </w:r>
      <w:r w:rsidR="00855C2C">
        <w:t>“In this historical perspective, medieval scholastic logic appears as a kind of pre</w:t>
      </w:r>
      <w:r w:rsidR="00D067E9">
        <w:t>-</w:t>
      </w:r>
      <w:r w:rsidR="00855C2C">
        <w:t>mathem</w:t>
      </w:r>
      <w:r w:rsidR="00D067E9">
        <w:t>at</w:t>
      </w:r>
      <w:r w:rsidR="00855C2C">
        <w:t xml:space="preserve">ics, a subtle and unwitting preparation for the large-scale operations in quantitative modes of thinking which will characterize the modern world. In assessing the meaning of [medieval] scholasticism, one must keep in mind an important and astounding fact: in the whole history of the human mind, mathematics and mathematical physics come into their own, in a way which has changed the face of the earth and promises or threatens to change it even more, at only one place and time, that is, in Western Europe immediately after the [medieval] scholastic experience [in short, in print culture]. Elsewhere, no matter how advanced the culture on other scores, and even along mathematical lines, as in the case of the Babylonian, nothing like a real mathematical transformation of thinking takes place – not among the ancient Egyptians or Assyrians or Greeks or Romans, not among the peoples of India nor the Chinese nor the Japanese, not among the Aztecs or Mayas, not in Islam despite the promising beginnings there, any more than among the Tartars or the </w:t>
      </w:r>
      <w:proofErr w:type="spellStart"/>
      <w:r w:rsidR="00855C2C">
        <w:t>Avars</w:t>
      </w:r>
      <w:proofErr w:type="spellEnd"/>
      <w:r w:rsidR="00855C2C">
        <w:t xml:space="preserve"> or the Turks. These people can all now share the common scientific knowledge, but the scientific tradition itself which they share is not a merging of various parallel discoveries made by their various civilizations. </w:t>
      </w:r>
      <w:r w:rsidR="00855C2C" w:rsidRPr="004C462B">
        <w:rPr>
          <w:b/>
        </w:rPr>
        <w:t>It represents a new state of mind.</w:t>
      </w:r>
      <w:r w:rsidR="00855C2C">
        <w:t xml:space="preserve"> However great contributions other civilizations may hereafter make to the tradition, our scientific world traces its origins back always to seventeenth and sixteenth century </w:t>
      </w:r>
      <w:r w:rsidR="00855C2C">
        <w:lastRenderedPageBreak/>
        <w:t>Europe [in short, to Copernicus and Galileo], to the place where for some three centuries and more the [medieval] arts course taught in universities and para</w:t>
      </w:r>
      <w:r w:rsidR="00164304">
        <w:t>-</w:t>
      </w:r>
      <w:r w:rsidR="00855C2C">
        <w:t>university schools had pounded into the heads of youth a study program consisting almost exclusively of a highly quantified logic and a companion physics, both taught on a scale and with an enthusiasm never approximated or even dreamt of in ancient academies” (</w:t>
      </w:r>
      <w:r w:rsidR="009F66E1">
        <w:t xml:space="preserve">p. 72; </w:t>
      </w:r>
      <w:r w:rsidR="00855C2C">
        <w:t>emphasis added</w:t>
      </w:r>
      <w:r w:rsidR="009F66E1">
        <w:t>).</w:t>
      </w:r>
      <w:r w:rsidR="00164304">
        <w:t xml:space="preserve"> What Ong here refers to as “a new state of mind” undoubtedly contributed significantly to the development of modern science and of modern capitalism in the print culture that emerged in Europe after the Gutenberg printing press emerged there in the mid-1450s. Ong’s statement about “a new state of mind” is a key consideration in my 2008 article “The West versus the Rest: Getting Our Cultural Bearings from Walter J. Ong” in the journal </w:t>
      </w:r>
      <w:r w:rsidR="00164304">
        <w:rPr>
          <w:i/>
          <w:iCs/>
        </w:rPr>
        <w:t>Explorations in Media Ecology</w:t>
      </w:r>
      <w:r w:rsidR="00164304">
        <w:t>, 7.4, pp. 271-281.</w:t>
      </w:r>
    </w:p>
    <w:p w14:paraId="21AA7B16" w14:textId="14B82D7A" w:rsidR="009C73F7" w:rsidRPr="007C1672" w:rsidRDefault="00E2298B" w:rsidP="000A0883">
      <w:pPr>
        <w:spacing w:line="480" w:lineRule="auto"/>
        <w:ind w:left="720" w:hanging="720"/>
      </w:pPr>
      <w:r>
        <w:t>(3</w:t>
      </w:r>
      <w:r w:rsidR="009C73F7">
        <w:t>) Ong’s</w:t>
      </w:r>
      <w:r w:rsidR="00164304">
        <w:t xml:space="preserve"> 1969</w:t>
      </w:r>
      <w:r w:rsidR="009C73F7">
        <w:t xml:space="preserve"> article “World as View and World as Event” in the journal </w:t>
      </w:r>
      <w:r w:rsidR="009C73F7">
        <w:rPr>
          <w:i/>
        </w:rPr>
        <w:t>American Anthropologist</w:t>
      </w:r>
      <w:r w:rsidR="0018153B">
        <w:rPr>
          <w:iCs/>
        </w:rPr>
        <w:t>,</w:t>
      </w:r>
      <w:r w:rsidR="009C73F7">
        <w:t xml:space="preserve"> 71.4</w:t>
      </w:r>
      <w:r w:rsidR="00164304">
        <w:t xml:space="preserve">, </w:t>
      </w:r>
      <w:r w:rsidR="003D4805">
        <w:t>pp.</w:t>
      </w:r>
      <w:r w:rsidR="009C73F7">
        <w:t xml:space="preserve"> 634-</w:t>
      </w:r>
      <w:r w:rsidR="003D4805">
        <w:t>6</w:t>
      </w:r>
      <w:r w:rsidR="009C73F7">
        <w:t>47.</w:t>
      </w:r>
      <w:r w:rsidR="000812C9">
        <w:t xml:space="preserve"> </w:t>
      </w:r>
      <w:r w:rsidR="00AC78DD">
        <w:t>It</w:t>
      </w:r>
      <w:r w:rsidR="000812C9">
        <w:t xml:space="preserve"> is reprinted in volume three of his </w:t>
      </w:r>
      <w:r w:rsidR="000812C9">
        <w:rPr>
          <w:i/>
        </w:rPr>
        <w:t>Faith and Contexts</w:t>
      </w:r>
      <w:r w:rsidR="000812C9">
        <w:t xml:space="preserve">, edited by </w:t>
      </w:r>
      <w:r w:rsidR="00F351B9">
        <w:t>Thomas J. Farrell</w:t>
      </w:r>
      <w:r w:rsidR="000812C9">
        <w:t xml:space="preserve"> and Paul A. Soukup (</w:t>
      </w:r>
      <w:r w:rsidR="00BE37E4">
        <w:t>Scholars Press</w:t>
      </w:r>
      <w:r w:rsidR="000812C9">
        <w:t>, 1995, pp. 69-90).</w:t>
      </w:r>
      <w:r w:rsidR="007C1672">
        <w:t xml:space="preserve"> But for further discussion of Ong’s expansive conceptualizations of the world-as-view sense of life and the world-as-event sense of life pertaining to the nine characteristics of orally based thought and expression that Ong operationally defines and explains in his</w:t>
      </w:r>
      <w:r w:rsidR="0018153B">
        <w:t xml:space="preserve"> 1982</w:t>
      </w:r>
      <w:r w:rsidR="007C1672">
        <w:t xml:space="preserve"> book </w:t>
      </w:r>
      <w:r w:rsidR="007C1672">
        <w:rPr>
          <w:i/>
          <w:iCs/>
        </w:rPr>
        <w:t>Orality and Literacy: The Technologizing of the Word</w:t>
      </w:r>
      <w:r w:rsidR="007C1672">
        <w:t xml:space="preserve"> (pp. </w:t>
      </w:r>
      <w:r w:rsidR="00FC6DBC">
        <w:t>36-</w:t>
      </w:r>
      <w:r w:rsidR="00F351B9">
        <w:t>68</w:t>
      </w:r>
      <w:r w:rsidR="007C1672">
        <w:t xml:space="preserve">), see </w:t>
      </w:r>
      <w:r w:rsidR="005959B8">
        <w:t>Thomas J. Farrell’s</w:t>
      </w:r>
      <w:r w:rsidR="00164304">
        <w:t xml:space="preserve"> 2012</w:t>
      </w:r>
      <w:r w:rsidR="007C1672">
        <w:t xml:space="preserve"> article “Walter Ong and Harold Bloom Can Help Us Understand the Hebrew Bible”</w:t>
      </w:r>
      <w:r w:rsidR="00FC6DBC">
        <w:t xml:space="preserve"> in the journal </w:t>
      </w:r>
      <w:r w:rsidR="00FC6DBC">
        <w:rPr>
          <w:i/>
          <w:iCs/>
        </w:rPr>
        <w:t>Explorations in Media Ecology</w:t>
      </w:r>
      <w:r w:rsidR="0018153B">
        <w:t>,</w:t>
      </w:r>
      <w:r w:rsidR="00FC6DBC">
        <w:t xml:space="preserve"> 11.3&amp;4</w:t>
      </w:r>
      <w:r w:rsidR="00164304">
        <w:t>,</w:t>
      </w:r>
      <w:r w:rsidR="003D4805">
        <w:t xml:space="preserve"> pp.</w:t>
      </w:r>
      <w:r w:rsidR="00FC6DBC">
        <w:t xml:space="preserve"> </w:t>
      </w:r>
      <w:r w:rsidR="007C1672">
        <w:t>255-</w:t>
      </w:r>
      <w:r w:rsidR="00F351B9">
        <w:t>2</w:t>
      </w:r>
      <w:r w:rsidR="00FC6DBC">
        <w:t>72.</w:t>
      </w:r>
    </w:p>
    <w:p w14:paraId="2440BDAE" w14:textId="70032790" w:rsidR="00DF1EAD" w:rsidRPr="000812C9" w:rsidRDefault="00E2298B" w:rsidP="000A0883">
      <w:pPr>
        <w:spacing w:line="480" w:lineRule="auto"/>
        <w:ind w:left="720" w:hanging="720"/>
      </w:pPr>
      <w:r>
        <w:t>(4</w:t>
      </w:r>
      <w:r w:rsidR="00DF1EAD">
        <w:t>) Ong’s</w:t>
      </w:r>
      <w:r w:rsidR="00340769">
        <w:t xml:space="preserve"> 1970</w:t>
      </w:r>
      <w:r w:rsidR="00DF1EAD">
        <w:t xml:space="preserve"> essay </w:t>
      </w:r>
      <w:r w:rsidR="00340769">
        <w:t>“‘I See What You Say’: Sense Analogues for Intellect” as reprinted in</w:t>
      </w:r>
      <w:r w:rsidR="0018153B">
        <w:t xml:space="preserve"> his 1977 book</w:t>
      </w:r>
      <w:r w:rsidR="00340769">
        <w:t xml:space="preserve"> </w:t>
      </w:r>
      <w:r w:rsidR="00DF1EAD">
        <w:rPr>
          <w:i/>
        </w:rPr>
        <w:t>Interfaces of the Word: Studies in the Evolution of Consciousness and Culture</w:t>
      </w:r>
      <w:r w:rsidR="00DF1EAD">
        <w:t xml:space="preserve"> (</w:t>
      </w:r>
      <w:r w:rsidR="00F351B9">
        <w:t>Cornell University Press</w:t>
      </w:r>
      <w:r w:rsidR="009F533A">
        <w:t>,</w:t>
      </w:r>
      <w:r w:rsidR="00DF1EAD">
        <w:t xml:space="preserve"> pp. </w:t>
      </w:r>
      <w:r w:rsidR="00340769">
        <w:t>122-</w:t>
      </w:r>
      <w:r w:rsidR="009F533A">
        <w:t>1</w:t>
      </w:r>
      <w:r w:rsidR="00340769">
        <w:t>44</w:t>
      </w:r>
      <w:r w:rsidR="00DF1EAD">
        <w:t>).</w:t>
      </w:r>
      <w:r w:rsidR="009F533A">
        <w:t xml:space="preserve"> It</w:t>
      </w:r>
      <w:r w:rsidR="000812C9">
        <w:t xml:space="preserve"> is also reprinted in volume three of his </w:t>
      </w:r>
      <w:r w:rsidR="000812C9">
        <w:rPr>
          <w:i/>
        </w:rPr>
        <w:t>Faith and Contexts</w:t>
      </w:r>
      <w:r w:rsidR="009F533A">
        <w:rPr>
          <w:iCs/>
        </w:rPr>
        <w:t>, edited by Thomas J. Farrell and Paul A. Soukup</w:t>
      </w:r>
      <w:r w:rsidR="000812C9">
        <w:t xml:space="preserve"> (</w:t>
      </w:r>
      <w:r w:rsidR="009F533A">
        <w:t xml:space="preserve">Scholars Press, </w:t>
      </w:r>
      <w:r w:rsidR="000812C9">
        <w:t>1995, pp. 91-111).</w:t>
      </w:r>
    </w:p>
    <w:p w14:paraId="3787E076" w14:textId="77777777" w:rsidR="00AC78DD" w:rsidRDefault="00E2298B" w:rsidP="000A0883">
      <w:pPr>
        <w:spacing w:line="480" w:lineRule="auto"/>
        <w:ind w:left="1440" w:hanging="1440"/>
      </w:pPr>
      <w:r>
        <w:lastRenderedPageBreak/>
        <w:t>(5</w:t>
      </w:r>
      <w:r w:rsidR="00747E58">
        <w:t xml:space="preserve">) Ong’s </w:t>
      </w:r>
      <w:r w:rsidR="00747E58">
        <w:rPr>
          <w:i/>
        </w:rPr>
        <w:t>Orality and Literacy: The Technologizing of the Word</w:t>
      </w:r>
      <w:r w:rsidR="00747E58">
        <w:t xml:space="preserve"> (</w:t>
      </w:r>
      <w:r w:rsidR="009F533A">
        <w:t xml:space="preserve">Methuen, </w:t>
      </w:r>
      <w:r w:rsidR="00747E58">
        <w:t>1982</w:t>
      </w:r>
      <w:r w:rsidR="00B97DC0">
        <w:t xml:space="preserve">, pp. </w:t>
      </w:r>
      <w:r w:rsidR="003D4805">
        <w:t>117-123</w:t>
      </w:r>
      <w:r w:rsidR="00747E58">
        <w:t>).</w:t>
      </w:r>
    </w:p>
    <w:p w14:paraId="05873010" w14:textId="6692A6D4" w:rsidR="00AC78DD" w:rsidRPr="00AC78DD" w:rsidRDefault="00AC78DD" w:rsidP="000A0883">
      <w:pPr>
        <w:spacing w:line="480" w:lineRule="auto"/>
        <w:ind w:left="720" w:hanging="720"/>
      </w:pPr>
      <w:r>
        <w:t xml:space="preserve">(6) Ong’s 1987 article “Orality-Literacy Studies and the Unity of the Human Race” in the journal </w:t>
      </w:r>
      <w:r>
        <w:rPr>
          <w:i/>
          <w:iCs/>
        </w:rPr>
        <w:t>Oral Tradition</w:t>
      </w:r>
      <w:r>
        <w:t xml:space="preserve">, 2.1, pp. 371-382. It is reprinted in volume one of Ong’s </w:t>
      </w:r>
      <w:r>
        <w:rPr>
          <w:i/>
          <w:iCs/>
        </w:rPr>
        <w:t>Faith and Contexts</w:t>
      </w:r>
      <w:r>
        <w:t>, edited by Thomas J. Farrell and Paul A. Soukup (Scholars Press, 1992a, pp. 209-218.</w:t>
      </w:r>
    </w:p>
    <w:p w14:paraId="109645C9" w14:textId="675D2FAC" w:rsidR="00FF15CC" w:rsidRDefault="00E2298B" w:rsidP="000A0883">
      <w:pPr>
        <w:spacing w:line="480" w:lineRule="auto"/>
        <w:ind w:left="1440" w:hanging="1440"/>
      </w:pPr>
      <w:r>
        <w:t>(</w:t>
      </w:r>
      <w:r w:rsidR="00AC78DD">
        <w:t>7</w:t>
      </w:r>
      <w:r w:rsidR="003A7A9B">
        <w:t>)</w:t>
      </w:r>
      <w:r w:rsidR="003212AD">
        <w:t xml:space="preserve"> </w:t>
      </w:r>
      <w:r w:rsidR="005959B8">
        <w:t>Thomas J. Farrell’s 2020</w:t>
      </w:r>
      <w:r w:rsidR="00FF15CC">
        <w:t xml:space="preserve"> </w:t>
      </w:r>
      <w:r w:rsidR="00BC701D">
        <w:rPr>
          <w:i/>
          <w:iCs/>
        </w:rPr>
        <w:t>OEN</w:t>
      </w:r>
      <w:r w:rsidR="003212AD">
        <w:t xml:space="preserve"> essay “</w:t>
      </w:r>
      <w:r w:rsidR="00FF15CC">
        <w:t>Walter J.</w:t>
      </w:r>
      <w:r w:rsidR="003212AD">
        <w:t xml:space="preserve"> Ong’s Philosophical Thought”</w:t>
      </w:r>
      <w:r w:rsidR="00FF15CC">
        <w:t xml:space="preserve"> (dated September 20, 2020)</w:t>
      </w:r>
      <w:r w:rsidR="003212AD">
        <w:t xml:space="preserve"> </w:t>
      </w:r>
      <w:r w:rsidR="00457943">
        <w:t>at</w:t>
      </w:r>
      <w:r w:rsidR="00FF15CC">
        <w:t xml:space="preserve"> opednews.com</w:t>
      </w:r>
      <w:r w:rsidR="0011688F">
        <w:t>:</w:t>
      </w:r>
      <w:r w:rsidR="005959B8">
        <w:t xml:space="preserve"> URL:</w:t>
      </w:r>
      <w:r w:rsidR="0011688F">
        <w:t xml:space="preserve"> </w:t>
      </w:r>
      <w:hyperlink r:id="rId9" w:history="1">
        <w:r w:rsidR="0011688F" w:rsidRPr="00FF677D">
          <w:rPr>
            <w:rStyle w:val="Hyperlink"/>
          </w:rPr>
          <w:t>https://www.opednews.com/articles/Walter-J-Ong-s-Philosophi-by-Thomas-Farrell-Communication_Communications_Communications_Consciousness-200920-664.html</w:t>
        </w:r>
      </w:hyperlink>
    </w:p>
    <w:p w14:paraId="1E29FD1C" w14:textId="10889D43" w:rsidR="00DF1EAD" w:rsidRPr="009511B6" w:rsidRDefault="00E2298B" w:rsidP="000A0883">
      <w:pPr>
        <w:spacing w:line="480" w:lineRule="auto"/>
        <w:ind w:left="720" w:hanging="720"/>
      </w:pPr>
      <w:r>
        <w:t>(</w:t>
      </w:r>
      <w:r w:rsidR="00AC78DD">
        <w:t>8</w:t>
      </w:r>
      <w:r w:rsidR="00DF1EAD">
        <w:t xml:space="preserve">) Marshall McLuhan’s </w:t>
      </w:r>
      <w:r w:rsidR="00DF1EAD">
        <w:rPr>
          <w:i/>
        </w:rPr>
        <w:t>The Gutenberg Galaxy: The Making of Typographic Man</w:t>
      </w:r>
      <w:r w:rsidR="00DF1EAD">
        <w:t xml:space="preserve"> (University of Toronto P</w:t>
      </w:r>
      <w:r w:rsidR="009F533A">
        <w:t>ress</w:t>
      </w:r>
      <w:r w:rsidR="00DF1EAD">
        <w:t>, 1962)</w:t>
      </w:r>
      <w:r w:rsidR="0011688F">
        <w:t xml:space="preserve"> –</w:t>
      </w:r>
      <w:r w:rsidR="009F533A">
        <w:t xml:space="preserve"> Ong advised us to read it</w:t>
      </w:r>
      <w:r w:rsidR="0011688F">
        <w:t xml:space="preserve"> with a grain of salt</w:t>
      </w:r>
      <w:r w:rsidR="00DF1EAD">
        <w:t>.</w:t>
      </w:r>
      <w:r w:rsidR="009511B6">
        <w:t xml:space="preserve"> Ong’s review of McLuhan’s 1962 book is reprinted in </w:t>
      </w:r>
      <w:r w:rsidR="009511B6">
        <w:rPr>
          <w:i/>
          <w:iCs/>
        </w:rPr>
        <w:t>An Ong Reader: Challenges for Further Inquiry</w:t>
      </w:r>
      <w:r w:rsidR="009511B6">
        <w:t>, edited by Thomas J. Farrell and Paul A. Soukup (Hampton Press, 2002, pp. 307-308).</w:t>
      </w:r>
    </w:p>
    <w:p w14:paraId="4BDFCE93" w14:textId="506C0646" w:rsidR="005C2F78" w:rsidRPr="0060691E" w:rsidRDefault="00E2298B" w:rsidP="000A0883">
      <w:pPr>
        <w:spacing w:line="480" w:lineRule="auto"/>
        <w:ind w:left="720" w:hanging="720"/>
      </w:pPr>
      <w:r>
        <w:t>(</w:t>
      </w:r>
      <w:r w:rsidR="00AC78DD">
        <w:t>9</w:t>
      </w:r>
      <w:r w:rsidR="005C2F78">
        <w:t>) Donald L. Fixico’s</w:t>
      </w:r>
      <w:r w:rsidR="0060691E">
        <w:t xml:space="preserve"> </w:t>
      </w:r>
      <w:r w:rsidR="0060691E">
        <w:rPr>
          <w:i/>
        </w:rPr>
        <w:t>The American Indian Mind in a Linear World: American Indian Studies and Traditional Knowledge</w:t>
      </w:r>
      <w:r w:rsidR="0060691E">
        <w:t xml:space="preserve"> (</w:t>
      </w:r>
      <w:r w:rsidR="009F533A">
        <w:t>Rout</w:t>
      </w:r>
      <w:r w:rsidR="0060691E">
        <w:t>ledge, 2003). For all practical purposes, what Fixico refers to as a linear world involves what Ong (1969) refers to as the world-as-view sense of life, and what Fixico refers to as American Indian traditional knowledge involves what Ong</w:t>
      </w:r>
      <w:r w:rsidR="009F533A">
        <w:t xml:space="preserve"> (1969)</w:t>
      </w:r>
      <w:r w:rsidR="0060691E">
        <w:t xml:space="preserve"> refers to as the world-as-event sense of life.</w:t>
      </w:r>
    </w:p>
    <w:p w14:paraId="6404BF1B" w14:textId="23238AF1" w:rsidR="00CB7910" w:rsidRPr="003B0BCD" w:rsidRDefault="003B0BCD" w:rsidP="000A0883">
      <w:pPr>
        <w:spacing w:line="480" w:lineRule="auto"/>
        <w:ind w:left="720" w:hanging="720"/>
        <w:rPr>
          <w:i/>
        </w:rPr>
      </w:pPr>
      <w:r>
        <w:t>(</w:t>
      </w:r>
      <w:r w:rsidR="00AC78DD">
        <w:t>10</w:t>
      </w:r>
      <w:r>
        <w:t xml:space="preserve">) </w:t>
      </w:r>
      <w:r w:rsidR="00CB7910">
        <w:t xml:space="preserve">John </w:t>
      </w:r>
      <w:proofErr w:type="spellStart"/>
      <w:r w:rsidR="00CB7910">
        <w:t>DeFrancis</w:t>
      </w:r>
      <w:proofErr w:type="spellEnd"/>
      <w:r w:rsidR="00CB7910">
        <w:t xml:space="preserve">’ </w:t>
      </w:r>
      <w:r w:rsidR="00CB7910" w:rsidRPr="003B0BCD">
        <w:rPr>
          <w:i/>
        </w:rPr>
        <w:t>Visible Speech: The Diverse Oneness of Writing Systems</w:t>
      </w:r>
      <w:r w:rsidR="00CB7910">
        <w:t xml:space="preserve"> </w:t>
      </w:r>
      <w:r w:rsidR="00CF1D34">
        <w:t>(</w:t>
      </w:r>
      <w:r w:rsidR="00972A97">
        <w:t xml:space="preserve">University of </w:t>
      </w:r>
      <w:r w:rsidR="00CF1D34">
        <w:t>Hawaii P</w:t>
      </w:r>
      <w:r w:rsidR="009F533A">
        <w:t>ress</w:t>
      </w:r>
      <w:r w:rsidR="00CF1D34">
        <w:t>, 1989).</w:t>
      </w:r>
    </w:p>
    <w:p w14:paraId="2524699E" w14:textId="08A9B667" w:rsidR="00AA15B7" w:rsidRPr="003B0BCD" w:rsidRDefault="008F3BC1" w:rsidP="000A0883">
      <w:pPr>
        <w:spacing w:line="480" w:lineRule="auto"/>
        <w:ind w:left="720" w:hanging="720"/>
        <w:rPr>
          <w:i/>
        </w:rPr>
      </w:pPr>
      <w:r>
        <w:t>(</w:t>
      </w:r>
      <w:r w:rsidR="00E2298B">
        <w:t>1</w:t>
      </w:r>
      <w:r w:rsidR="00AC78DD">
        <w:t>1</w:t>
      </w:r>
      <w:r>
        <w:t xml:space="preserve">) </w:t>
      </w:r>
      <w:r w:rsidR="00AA15B7">
        <w:t xml:space="preserve">Camille Paglia’s </w:t>
      </w:r>
      <w:r w:rsidR="00AA15B7" w:rsidRPr="003B0BCD">
        <w:rPr>
          <w:i/>
        </w:rPr>
        <w:t>Sexual Personae: Art and Decadence from Nefertiti to Emily Dickinson</w:t>
      </w:r>
      <w:r w:rsidR="00AA15B7">
        <w:t xml:space="preserve"> (Yale</w:t>
      </w:r>
      <w:r w:rsidR="00972A97">
        <w:t xml:space="preserve"> University Press</w:t>
      </w:r>
      <w:r w:rsidR="00AA15B7">
        <w:t>, 1990)</w:t>
      </w:r>
      <w:r w:rsidR="00CF1D34">
        <w:t>.</w:t>
      </w:r>
    </w:p>
    <w:p w14:paraId="00F4A114" w14:textId="04A6DC24" w:rsidR="00AA15B7" w:rsidRPr="007B118D" w:rsidRDefault="00E2298B" w:rsidP="000A0883">
      <w:pPr>
        <w:spacing w:line="480" w:lineRule="auto"/>
        <w:ind w:left="720" w:hanging="720"/>
        <w:rPr>
          <w:i/>
        </w:rPr>
      </w:pPr>
      <w:r>
        <w:lastRenderedPageBreak/>
        <w:t>(1</w:t>
      </w:r>
      <w:r w:rsidR="00AC78DD">
        <w:t>2</w:t>
      </w:r>
      <w:r w:rsidR="008F3BC1">
        <w:t xml:space="preserve">) </w:t>
      </w:r>
      <w:r w:rsidR="00AA15B7">
        <w:t xml:space="preserve">Robert Hahn’s </w:t>
      </w:r>
      <w:r w:rsidR="00AA15B7" w:rsidRPr="007B118D">
        <w:rPr>
          <w:i/>
        </w:rPr>
        <w:t>Anaximander and the Architects: The Contributions of Egyptian and Greek Architectural Technologies to the Origins of Greek Philosophy</w:t>
      </w:r>
      <w:r w:rsidR="00AA15B7">
        <w:t xml:space="preserve"> (</w:t>
      </w:r>
      <w:r w:rsidR="00CF1D34">
        <w:t>State</w:t>
      </w:r>
      <w:r w:rsidR="00972A97">
        <w:t xml:space="preserve"> University of </w:t>
      </w:r>
      <w:r w:rsidR="00CF1D34">
        <w:t>New York P</w:t>
      </w:r>
      <w:r w:rsidR="009F533A">
        <w:t>ress</w:t>
      </w:r>
      <w:r w:rsidR="00CF1D34">
        <w:t>, 2001).</w:t>
      </w:r>
    </w:p>
    <w:p w14:paraId="43D4251A" w14:textId="1E09725C" w:rsidR="00AA15B7" w:rsidRPr="007B118D" w:rsidRDefault="00E2298B" w:rsidP="000A0883">
      <w:pPr>
        <w:spacing w:line="480" w:lineRule="auto"/>
        <w:ind w:left="720" w:hanging="720"/>
        <w:rPr>
          <w:i/>
        </w:rPr>
      </w:pPr>
      <w:r>
        <w:t>(1</w:t>
      </w:r>
      <w:r w:rsidR="00AC78DD">
        <w:t>3</w:t>
      </w:r>
      <w:r w:rsidR="008F3BC1">
        <w:t xml:space="preserve">) </w:t>
      </w:r>
      <w:r w:rsidR="00AA15B7">
        <w:t xml:space="preserve">Raymond Adolph Prier’s </w:t>
      </w:r>
      <w:proofErr w:type="spellStart"/>
      <w:r w:rsidR="00AA15B7">
        <w:t>Thauma</w:t>
      </w:r>
      <w:proofErr w:type="spellEnd"/>
      <w:r w:rsidR="00AA15B7">
        <w:t xml:space="preserve"> </w:t>
      </w:r>
      <w:proofErr w:type="spellStart"/>
      <w:r w:rsidR="00AA15B7">
        <w:t>Idesthai</w:t>
      </w:r>
      <w:proofErr w:type="spellEnd"/>
      <w:r w:rsidR="00AA15B7" w:rsidRPr="007B118D">
        <w:rPr>
          <w:i/>
        </w:rPr>
        <w:t>: Sight and Appearance in Archaic Greek</w:t>
      </w:r>
      <w:r w:rsidR="00193BB8">
        <w:t xml:space="preserve"> (</w:t>
      </w:r>
      <w:r w:rsidR="00CF1D34">
        <w:t>Florida State</w:t>
      </w:r>
      <w:r w:rsidR="00972A97">
        <w:t xml:space="preserve"> University Press</w:t>
      </w:r>
      <w:r w:rsidR="00CF1D34">
        <w:t>, 1989).</w:t>
      </w:r>
    </w:p>
    <w:p w14:paraId="3CA03010" w14:textId="027F6C8E" w:rsidR="00964CB0" w:rsidRPr="004D13A6" w:rsidRDefault="00E2298B" w:rsidP="000A0883">
      <w:pPr>
        <w:spacing w:line="480" w:lineRule="auto"/>
        <w:ind w:left="720" w:hanging="720"/>
        <w:rPr>
          <w:u w:val="single"/>
        </w:rPr>
      </w:pPr>
      <w:r>
        <w:t>(1</w:t>
      </w:r>
      <w:r w:rsidR="00AC78DD">
        <w:t>4</w:t>
      </w:r>
      <w:r w:rsidR="008F3BC1">
        <w:t xml:space="preserve">) </w:t>
      </w:r>
      <w:r w:rsidR="00AA15B7">
        <w:t xml:space="preserve">Andrea Wilson Nightingale’s </w:t>
      </w:r>
      <w:r w:rsidR="00AA15B7" w:rsidRPr="004D13A6">
        <w:rPr>
          <w:i/>
        </w:rPr>
        <w:t>Spectacles of Truth in Classical Greek Philosophy:</w:t>
      </w:r>
      <w:r w:rsidR="00AA15B7">
        <w:t xml:space="preserve"> </w:t>
      </w:r>
      <w:proofErr w:type="spellStart"/>
      <w:r w:rsidR="00AA15B7">
        <w:t>Theoria</w:t>
      </w:r>
      <w:proofErr w:type="spellEnd"/>
      <w:r w:rsidR="00AA15B7">
        <w:t xml:space="preserve"> </w:t>
      </w:r>
      <w:r w:rsidR="00AA15B7" w:rsidRPr="004D13A6">
        <w:rPr>
          <w:i/>
        </w:rPr>
        <w:t>in Its Cultural Context</w:t>
      </w:r>
      <w:r w:rsidR="00AA15B7">
        <w:t xml:space="preserve"> (</w:t>
      </w:r>
      <w:r w:rsidR="00CF1D34">
        <w:t>Cambridge</w:t>
      </w:r>
      <w:r w:rsidR="00972A97">
        <w:t xml:space="preserve"> University Press</w:t>
      </w:r>
      <w:r w:rsidR="00CF1D34">
        <w:t>, 2004).</w:t>
      </w:r>
    </w:p>
    <w:p w14:paraId="68609E0B" w14:textId="1BCAD103" w:rsidR="00580270" w:rsidRPr="00467DCB" w:rsidRDefault="00CB7910" w:rsidP="000A0883">
      <w:pPr>
        <w:spacing w:line="480" w:lineRule="auto"/>
        <w:ind w:left="720" w:hanging="720"/>
        <w:rPr>
          <w:i/>
        </w:rPr>
      </w:pPr>
      <w:r>
        <w:t>(</w:t>
      </w:r>
      <w:r w:rsidR="00E2298B">
        <w:t>1</w:t>
      </w:r>
      <w:r w:rsidR="00AC78DD">
        <w:t>5</w:t>
      </w:r>
      <w:r w:rsidR="00580270">
        <w:t xml:space="preserve">) </w:t>
      </w:r>
      <w:r w:rsidR="00D41E61">
        <w:t xml:space="preserve">Bernard Lonergan’s </w:t>
      </w:r>
      <w:r w:rsidR="00D41E61" w:rsidRPr="00467DCB">
        <w:rPr>
          <w:i/>
        </w:rPr>
        <w:t>Insight: A Study of Human Understanding</w:t>
      </w:r>
      <w:r w:rsidR="00D41E61">
        <w:t>, 5th ed., edited by Frederick E. Crowe and Robert M. Doran (</w:t>
      </w:r>
      <w:r w:rsidR="00972A97">
        <w:t xml:space="preserve">University of </w:t>
      </w:r>
      <w:r w:rsidR="00D41E61">
        <w:t>Toronto P</w:t>
      </w:r>
      <w:r w:rsidR="009F533A">
        <w:t>ress</w:t>
      </w:r>
      <w:r w:rsidR="00D41E61">
        <w:t>, 1992)</w:t>
      </w:r>
      <w:r w:rsidR="00CF1D34">
        <w:t>.</w:t>
      </w:r>
    </w:p>
    <w:p w14:paraId="5D9BE9BB" w14:textId="5FC2373A" w:rsidR="002A4DD5" w:rsidRDefault="00D41E61" w:rsidP="000A0883">
      <w:pPr>
        <w:spacing w:line="480" w:lineRule="auto"/>
        <w:ind w:left="720" w:hanging="720"/>
      </w:pPr>
      <w:r>
        <w:t>(</w:t>
      </w:r>
      <w:r w:rsidR="00E2298B">
        <w:t>1</w:t>
      </w:r>
      <w:r w:rsidR="00AC78DD">
        <w:t>6</w:t>
      </w:r>
      <w:r>
        <w:t>)</w:t>
      </w:r>
      <w:r w:rsidR="002A4DD5">
        <w:t xml:space="preserve"> </w:t>
      </w:r>
      <w:r w:rsidR="009918EA">
        <w:t xml:space="preserve">Jas Elsner’s </w:t>
      </w:r>
      <w:r w:rsidR="009918EA" w:rsidRPr="00C15F9E">
        <w:rPr>
          <w:i/>
        </w:rPr>
        <w:t>Roman Eyes: Visuality &amp; Subjectivity in Art &amp; Text</w:t>
      </w:r>
      <w:r w:rsidR="009918EA">
        <w:t xml:space="preserve"> (</w:t>
      </w:r>
      <w:r w:rsidR="00CF1D34">
        <w:t>Princeton</w:t>
      </w:r>
      <w:r w:rsidR="00972A97">
        <w:t xml:space="preserve"> University Press</w:t>
      </w:r>
      <w:r w:rsidR="00CF1D34">
        <w:t>, 2007).</w:t>
      </w:r>
    </w:p>
    <w:p w14:paraId="41628DB0" w14:textId="40CD7F59" w:rsidR="0045226F" w:rsidRDefault="00E2298B" w:rsidP="000A0883">
      <w:pPr>
        <w:spacing w:line="480" w:lineRule="auto"/>
        <w:ind w:left="720" w:hanging="720"/>
      </w:pPr>
      <w:r>
        <w:t>(1</w:t>
      </w:r>
      <w:r w:rsidR="00AC78DD">
        <w:t>7</w:t>
      </w:r>
      <w:r w:rsidR="0045226F">
        <w:t xml:space="preserve">) </w:t>
      </w:r>
      <w:r w:rsidR="00586F97">
        <w:t xml:space="preserve">Marco Mostert’s </w:t>
      </w:r>
      <w:proofErr w:type="gramStart"/>
      <w:r w:rsidR="00586F97">
        <w:rPr>
          <w:i/>
        </w:rPr>
        <w:t>A</w:t>
      </w:r>
      <w:proofErr w:type="gramEnd"/>
      <w:r w:rsidR="00586F97">
        <w:rPr>
          <w:i/>
        </w:rPr>
        <w:t xml:space="preserve"> Bibliography of Works in Medieval Communication</w:t>
      </w:r>
      <w:r w:rsidR="00586F97">
        <w:t xml:space="preserve"> (</w:t>
      </w:r>
      <w:proofErr w:type="spellStart"/>
      <w:r w:rsidR="00CF1D34">
        <w:t>Brepols</w:t>
      </w:r>
      <w:proofErr w:type="spellEnd"/>
      <w:r w:rsidR="00CF1D34">
        <w:t>, 2012).</w:t>
      </w:r>
    </w:p>
    <w:p w14:paraId="7CE28235" w14:textId="320BB70D" w:rsidR="006C58BE" w:rsidRPr="006C58BE" w:rsidRDefault="00E2298B" w:rsidP="000A0883">
      <w:pPr>
        <w:spacing w:line="480" w:lineRule="auto"/>
        <w:ind w:left="720" w:hanging="720"/>
      </w:pPr>
      <w:r>
        <w:t>(1</w:t>
      </w:r>
      <w:r w:rsidR="00AC78DD">
        <w:t>8</w:t>
      </w:r>
      <w:r w:rsidR="006C58BE">
        <w:t xml:space="preserve">) Johannes Hoff’s </w:t>
      </w:r>
      <w:r w:rsidR="006C58BE">
        <w:rPr>
          <w:i/>
        </w:rPr>
        <w:t xml:space="preserve">The Analogical Turn: Rethinking Modernity with Nicholas of </w:t>
      </w:r>
      <w:proofErr w:type="spellStart"/>
      <w:r w:rsidR="006C58BE">
        <w:rPr>
          <w:i/>
        </w:rPr>
        <w:t>Cusa</w:t>
      </w:r>
      <w:proofErr w:type="spellEnd"/>
      <w:r w:rsidR="006C58BE">
        <w:t xml:space="preserve"> (William B. Eerdmans Publishing, 2013)</w:t>
      </w:r>
      <w:r w:rsidR="00CF1D34">
        <w:t>.</w:t>
      </w:r>
    </w:p>
    <w:p w14:paraId="18AA3354" w14:textId="1A7A439C" w:rsidR="0053747D" w:rsidRPr="00467DCB" w:rsidRDefault="00586F97" w:rsidP="000A0883">
      <w:pPr>
        <w:spacing w:line="480" w:lineRule="auto"/>
        <w:ind w:left="720" w:hanging="720"/>
        <w:rPr>
          <w:i/>
        </w:rPr>
      </w:pPr>
      <w:r>
        <w:t>(</w:t>
      </w:r>
      <w:r w:rsidR="00E2298B">
        <w:t>1</w:t>
      </w:r>
      <w:r w:rsidR="00AC78DD">
        <w:t>9</w:t>
      </w:r>
      <w:r w:rsidR="0053747D">
        <w:t xml:space="preserve">) David Michael Levin’s </w:t>
      </w:r>
      <w:r w:rsidR="0053747D" w:rsidRPr="00467DCB">
        <w:rPr>
          <w:i/>
        </w:rPr>
        <w:t>Modernity and the Hegemony of Vision</w:t>
      </w:r>
      <w:r w:rsidR="0053747D">
        <w:t xml:space="preserve"> (</w:t>
      </w:r>
      <w:r w:rsidR="00972A97">
        <w:t xml:space="preserve">University of </w:t>
      </w:r>
      <w:r w:rsidR="00CF1D34">
        <w:t>California P</w:t>
      </w:r>
      <w:r w:rsidR="009F533A">
        <w:t>ress</w:t>
      </w:r>
      <w:r w:rsidR="00CF1D34">
        <w:t>, 1999).</w:t>
      </w:r>
    </w:p>
    <w:p w14:paraId="547FCB98" w14:textId="237852CB" w:rsidR="0053747D" w:rsidRPr="005133BE" w:rsidRDefault="00E2298B" w:rsidP="000A0883">
      <w:pPr>
        <w:spacing w:line="480" w:lineRule="auto"/>
        <w:ind w:left="720" w:hanging="720"/>
        <w:rPr>
          <w:i/>
        </w:rPr>
      </w:pPr>
      <w:r>
        <w:t>(</w:t>
      </w:r>
      <w:r w:rsidR="00AC78DD">
        <w:t>20</w:t>
      </w:r>
      <w:r w:rsidR="0053747D">
        <w:t xml:space="preserve">) Richard Yeo’s </w:t>
      </w:r>
      <w:proofErr w:type="spellStart"/>
      <w:r w:rsidR="0053747D" w:rsidRPr="005133BE">
        <w:rPr>
          <w:i/>
        </w:rPr>
        <w:t>Encyclopaedic</w:t>
      </w:r>
      <w:proofErr w:type="spellEnd"/>
      <w:r w:rsidR="0053747D" w:rsidRPr="005133BE">
        <w:rPr>
          <w:i/>
        </w:rPr>
        <w:t xml:space="preserve"> Visions: Scientific Dictionaries and Enlightenment Culture</w:t>
      </w:r>
      <w:r w:rsidR="0053747D">
        <w:t xml:space="preserve"> (</w:t>
      </w:r>
      <w:r w:rsidR="00CF1D34">
        <w:t>Cambridge</w:t>
      </w:r>
      <w:r w:rsidR="00972A97">
        <w:t xml:space="preserve"> University Press</w:t>
      </w:r>
      <w:r w:rsidR="00CF1D34">
        <w:t>, 2001).</w:t>
      </w:r>
    </w:p>
    <w:p w14:paraId="45B27B42" w14:textId="3D3C374B" w:rsidR="006C58BE" w:rsidRPr="00B743C6" w:rsidRDefault="006C58BE" w:rsidP="000A0883">
      <w:pPr>
        <w:spacing w:line="480" w:lineRule="auto"/>
        <w:ind w:left="720" w:hanging="720"/>
      </w:pPr>
      <w:r>
        <w:t>(2</w:t>
      </w:r>
      <w:r w:rsidR="00AC78DD">
        <w:t>1</w:t>
      </w:r>
      <w:r>
        <w:t xml:space="preserve">) Gary Shapiro’s </w:t>
      </w:r>
      <w:r>
        <w:rPr>
          <w:i/>
        </w:rPr>
        <w:t>Archaeologies of Vision: Foucault and Nietzsche on Seeing and Saying</w:t>
      </w:r>
      <w:r>
        <w:t xml:space="preserve"> (</w:t>
      </w:r>
      <w:r w:rsidR="00972A97">
        <w:t xml:space="preserve">University of </w:t>
      </w:r>
      <w:r>
        <w:t>Chicago P</w:t>
      </w:r>
      <w:r w:rsidR="009F533A">
        <w:t>ress</w:t>
      </w:r>
      <w:r>
        <w:t>, 2003).</w:t>
      </w:r>
    </w:p>
    <w:p w14:paraId="6B2F622C" w14:textId="15DDC188" w:rsidR="002A4DD5" w:rsidRDefault="002A4DD5" w:rsidP="000A0883">
      <w:pPr>
        <w:spacing w:line="480" w:lineRule="auto"/>
        <w:ind w:left="720" w:hanging="720"/>
      </w:pPr>
      <w:r>
        <w:t>(</w:t>
      </w:r>
      <w:r w:rsidR="00E2298B">
        <w:t>2</w:t>
      </w:r>
      <w:r w:rsidR="00AC78DD">
        <w:t>2</w:t>
      </w:r>
      <w:r>
        <w:t>)</w:t>
      </w:r>
      <w:r w:rsidR="0053747D">
        <w:t xml:space="preserve"> Martin Jay’s </w:t>
      </w:r>
      <w:r w:rsidR="0053747D" w:rsidRPr="005133BE">
        <w:rPr>
          <w:i/>
        </w:rPr>
        <w:t>Downcast Eyes: The Denigration of Vision in Twentieth-Century French Thought</w:t>
      </w:r>
      <w:r w:rsidR="0053747D">
        <w:t xml:space="preserve"> (</w:t>
      </w:r>
      <w:r w:rsidR="00972A97">
        <w:t xml:space="preserve">University of </w:t>
      </w:r>
      <w:r w:rsidR="00E739BE">
        <w:t>California P</w:t>
      </w:r>
      <w:r w:rsidR="009F533A">
        <w:t>ress</w:t>
      </w:r>
      <w:r w:rsidR="00E739BE">
        <w:t>, 1993).</w:t>
      </w:r>
    </w:p>
    <w:p w14:paraId="2435447D" w14:textId="437C1D7A" w:rsidR="000155A6" w:rsidRDefault="000155A6" w:rsidP="000A0883">
      <w:pPr>
        <w:spacing w:line="480" w:lineRule="auto"/>
        <w:ind w:left="720" w:hanging="720"/>
      </w:pPr>
      <w:r>
        <w:lastRenderedPageBreak/>
        <w:t>(2</w:t>
      </w:r>
      <w:r w:rsidR="00AC78DD">
        <w:t>3</w:t>
      </w:r>
      <w:r>
        <w:t xml:space="preserve">) James L. Kugel’s </w:t>
      </w:r>
      <w:r>
        <w:rPr>
          <w:i/>
          <w:iCs/>
        </w:rPr>
        <w:t>The Great Shift: Encountering God in Biblical Time</w:t>
      </w:r>
      <w:r w:rsidR="00D61421">
        <w:rPr>
          <w:i/>
          <w:iCs/>
        </w:rPr>
        <w:t>s</w:t>
      </w:r>
      <w:r>
        <w:t xml:space="preserve"> (Houghton Mifflin Harcourt, 2017).</w:t>
      </w:r>
      <w:r w:rsidR="00CE669F">
        <w:t xml:space="preserve"> </w:t>
      </w:r>
      <w:r w:rsidR="00E41F44">
        <w:t>What Kugel refers to in his 2017 book as the great shift in biblical times involves what Ong refers to in his massively researched 1958 book as the aural</w:t>
      </w:r>
      <w:r w:rsidR="00745532">
        <w:t>-</w:t>
      </w:r>
      <w:r w:rsidR="00E41F44">
        <w:t>to</w:t>
      </w:r>
      <w:r w:rsidR="00745532">
        <w:t>-</w:t>
      </w:r>
      <w:r w:rsidR="00E41F44">
        <w:t>visual shift in Western cultural history.</w:t>
      </w:r>
    </w:p>
    <w:p w14:paraId="3AE29E41" w14:textId="553E9615" w:rsidR="00861FBB" w:rsidRDefault="00861FBB" w:rsidP="000A0883">
      <w:pPr>
        <w:spacing w:line="480" w:lineRule="auto"/>
        <w:ind w:left="720" w:hanging="720"/>
      </w:pPr>
      <w:r>
        <w:t>(2</w:t>
      </w:r>
      <w:r w:rsidR="00AC78DD">
        <w:t>4</w:t>
      </w:r>
      <w:r>
        <w:t xml:space="preserve">) Werner H. </w:t>
      </w:r>
      <w:proofErr w:type="spellStart"/>
      <w:r>
        <w:t>Kelber’s</w:t>
      </w:r>
      <w:proofErr w:type="spellEnd"/>
      <w:r>
        <w:t xml:space="preserve"> </w:t>
      </w:r>
      <w:proofErr w:type="gramStart"/>
      <w:r>
        <w:rPr>
          <w:i/>
          <w:iCs/>
        </w:rPr>
        <w:t>The</w:t>
      </w:r>
      <w:proofErr w:type="gramEnd"/>
      <w:r>
        <w:rPr>
          <w:i/>
          <w:iCs/>
        </w:rPr>
        <w:t xml:space="preserve"> Oral and the Written Gospel: The Hermeneutics of Speaking and Writing in the Synoptic Tradition, Mark, Paul, and Q</w:t>
      </w:r>
      <w:r>
        <w:t xml:space="preserve"> (Fortress P</w:t>
      </w:r>
      <w:r w:rsidR="00745532">
        <w:t>ress</w:t>
      </w:r>
      <w:r>
        <w:t>, 1983).</w:t>
      </w:r>
    </w:p>
    <w:p w14:paraId="603D1B94" w14:textId="77777777" w:rsidR="009475E9" w:rsidRPr="00861FBB" w:rsidRDefault="009475E9" w:rsidP="000A0883">
      <w:pPr>
        <w:spacing w:line="480" w:lineRule="auto"/>
        <w:ind w:left="720" w:hanging="720"/>
      </w:pPr>
    </w:p>
    <w:p w14:paraId="7AD014B8" w14:textId="46EFB129" w:rsidR="00951A4E" w:rsidRPr="00951A4E" w:rsidRDefault="00951A4E" w:rsidP="000A0883">
      <w:pPr>
        <w:spacing w:line="480" w:lineRule="auto"/>
        <w:rPr>
          <w:b/>
          <w:u w:val="single"/>
        </w:rPr>
      </w:pPr>
      <w:r w:rsidRPr="00951A4E">
        <w:rPr>
          <w:b/>
          <w:u w:val="single"/>
        </w:rPr>
        <w:t>Theme</w:t>
      </w:r>
      <w:r w:rsidR="00D84E2E">
        <w:rPr>
          <w:b/>
          <w:u w:val="single"/>
        </w:rPr>
        <w:t xml:space="preserve"> II</w:t>
      </w:r>
      <w:r w:rsidRPr="00951A4E">
        <w:rPr>
          <w:b/>
          <w:u w:val="single"/>
        </w:rPr>
        <w:t>: Orality</w:t>
      </w:r>
      <w:r w:rsidR="001F40FD">
        <w:rPr>
          <w:b/>
          <w:u w:val="single"/>
        </w:rPr>
        <w:t xml:space="preserve"> (Ong, 1982, pp. 1-77)</w:t>
      </w:r>
    </w:p>
    <w:p w14:paraId="1BB7E2F6" w14:textId="77777777" w:rsidR="00DF1EAD" w:rsidRDefault="00DF1EAD" w:rsidP="000A0883">
      <w:pPr>
        <w:spacing w:line="480" w:lineRule="auto"/>
      </w:pPr>
    </w:p>
    <w:p w14:paraId="788AC49D" w14:textId="339D6C09" w:rsidR="003A32E4" w:rsidRDefault="003A32E4" w:rsidP="000A0883">
      <w:pPr>
        <w:spacing w:line="480" w:lineRule="auto"/>
        <w:ind w:left="720" w:hanging="720"/>
      </w:pPr>
      <w:r>
        <w:t>(</w:t>
      </w:r>
      <w:r w:rsidR="00EF12AB">
        <w:t>1</w:t>
      </w:r>
      <w:r>
        <w:t>)</w:t>
      </w:r>
      <w:r w:rsidR="00552D5A">
        <w:t xml:space="preserve"> Ong’s </w:t>
      </w:r>
      <w:r w:rsidR="00552D5A">
        <w:rPr>
          <w:i/>
        </w:rPr>
        <w:t>The Presence of the Word: Some Prolegomena for Cultural and Religious History</w:t>
      </w:r>
      <w:r w:rsidR="00552D5A">
        <w:t xml:space="preserve"> (</w:t>
      </w:r>
      <w:r w:rsidR="004C4D83">
        <w:t xml:space="preserve">Yale University Press, </w:t>
      </w:r>
      <w:r w:rsidR="00552D5A">
        <w:t>1967).</w:t>
      </w:r>
    </w:p>
    <w:p w14:paraId="7EA5C5A6" w14:textId="22F385A7" w:rsidR="009C73F7" w:rsidRPr="00891E03" w:rsidRDefault="00EF12AB" w:rsidP="000A0883">
      <w:pPr>
        <w:spacing w:line="480" w:lineRule="auto"/>
        <w:ind w:left="720" w:hanging="720"/>
      </w:pPr>
      <w:r>
        <w:t>(2</w:t>
      </w:r>
      <w:r w:rsidR="009C73F7">
        <w:t>) Ong’s</w:t>
      </w:r>
      <w:r w:rsidR="00312054">
        <w:t xml:space="preserve"> 1969</w:t>
      </w:r>
      <w:r w:rsidR="009C73F7">
        <w:t xml:space="preserve"> article “World as View and World as Event” in the journal </w:t>
      </w:r>
      <w:r w:rsidR="009C73F7">
        <w:rPr>
          <w:i/>
        </w:rPr>
        <w:t>American Anthropologist</w:t>
      </w:r>
      <w:r w:rsidR="0018153B">
        <w:rPr>
          <w:iCs/>
        </w:rPr>
        <w:t>,</w:t>
      </w:r>
      <w:r w:rsidR="009C73F7">
        <w:t xml:space="preserve"> 71.4</w:t>
      </w:r>
      <w:r w:rsidR="00312054">
        <w:t xml:space="preserve">, </w:t>
      </w:r>
      <w:r w:rsidR="003D4805">
        <w:t>pp.</w:t>
      </w:r>
      <w:r w:rsidR="009C73F7">
        <w:t xml:space="preserve"> 634-</w:t>
      </w:r>
      <w:r w:rsidR="003D4805">
        <w:t>6</w:t>
      </w:r>
      <w:r w:rsidR="009C73F7">
        <w:t>47.</w:t>
      </w:r>
      <w:r w:rsidR="000812C9">
        <w:t xml:space="preserve"> </w:t>
      </w:r>
      <w:r w:rsidR="00B3404C">
        <w:t>It</w:t>
      </w:r>
      <w:r w:rsidR="000812C9">
        <w:t xml:space="preserve"> is reprinted in volume three of his </w:t>
      </w:r>
      <w:r w:rsidR="000812C9">
        <w:rPr>
          <w:i/>
        </w:rPr>
        <w:t>Faith and Contexts</w:t>
      </w:r>
      <w:r w:rsidR="000812C9">
        <w:t xml:space="preserve">, edited by </w:t>
      </w:r>
      <w:r w:rsidR="0018153B">
        <w:t>Thomas J. Farrell</w:t>
      </w:r>
      <w:r w:rsidR="000812C9">
        <w:t xml:space="preserve"> and Paul A. Soukup (</w:t>
      </w:r>
      <w:r w:rsidR="00BE37E4">
        <w:t>Scholars Press</w:t>
      </w:r>
      <w:r w:rsidR="000812C9">
        <w:t>, 1995, pp. 69-90).</w:t>
      </w:r>
      <w:r w:rsidR="002E63CC">
        <w:t xml:space="preserve"> But for further discussion of </w:t>
      </w:r>
      <w:r w:rsidR="00891E03">
        <w:t>Ong’s expansive conceptualizations of the world-as-view sense of life and the world-as-event sense of life pertaining to the nine characteristics of orally based thought and expression that Ong operationally defines and explains in his</w:t>
      </w:r>
      <w:r w:rsidR="0018153B">
        <w:t xml:space="preserve"> 1982</w:t>
      </w:r>
      <w:r w:rsidR="00891E03">
        <w:t xml:space="preserve"> book </w:t>
      </w:r>
      <w:r w:rsidR="00891E03">
        <w:rPr>
          <w:i/>
          <w:iCs/>
        </w:rPr>
        <w:t>Orality and Literacy: The Technologizing of the Word</w:t>
      </w:r>
      <w:r w:rsidR="00891E03">
        <w:t xml:space="preserve"> (</w:t>
      </w:r>
      <w:r w:rsidR="00B514B3">
        <w:t xml:space="preserve">Methuen, </w:t>
      </w:r>
      <w:r w:rsidR="00891E03">
        <w:t xml:space="preserve">pp. 36-57), see </w:t>
      </w:r>
      <w:r w:rsidR="005959B8">
        <w:t>Thomas J. Farrell’s</w:t>
      </w:r>
      <w:r w:rsidR="00312054">
        <w:t xml:space="preserve"> 2012</w:t>
      </w:r>
      <w:r w:rsidR="00891E03">
        <w:t xml:space="preserve"> article “Walter Ong and Harold Bloom Can Help Us Understand the Hebrew Bible” in the journal </w:t>
      </w:r>
      <w:r w:rsidR="00891E03">
        <w:rPr>
          <w:i/>
          <w:iCs/>
        </w:rPr>
        <w:t>Explorations in Media Ecology</w:t>
      </w:r>
      <w:r w:rsidR="0018153B">
        <w:t>,</w:t>
      </w:r>
      <w:r w:rsidR="00891E03">
        <w:t xml:space="preserve"> 11.3&amp;4</w:t>
      </w:r>
      <w:r w:rsidR="00312054">
        <w:t xml:space="preserve">, </w:t>
      </w:r>
      <w:r w:rsidR="0018153B">
        <w:t>pp.</w:t>
      </w:r>
      <w:r w:rsidR="00891E03">
        <w:t xml:space="preserve"> 255-</w:t>
      </w:r>
      <w:r w:rsidR="0018153B">
        <w:t>2</w:t>
      </w:r>
      <w:r w:rsidR="00891E03">
        <w:t>72.</w:t>
      </w:r>
    </w:p>
    <w:p w14:paraId="389C7302" w14:textId="46EFFED6" w:rsidR="00BF246A" w:rsidRDefault="00EF12AB" w:rsidP="000A0883">
      <w:pPr>
        <w:spacing w:line="480" w:lineRule="auto"/>
        <w:ind w:left="720" w:hanging="720"/>
      </w:pPr>
      <w:r>
        <w:lastRenderedPageBreak/>
        <w:t>(3</w:t>
      </w:r>
      <w:r w:rsidR="00BF246A">
        <w:t>) David M. Smith’s 1997 essay “World as Event: Aspects of Chipewyan Ontology” as reprinted in</w:t>
      </w:r>
      <w:r w:rsidR="0018153B">
        <w:t xml:space="preserve"> the ambitious</w:t>
      </w:r>
      <w:r w:rsidR="0082466A">
        <w:t xml:space="preserve"> 2012</w:t>
      </w:r>
      <w:r w:rsidR="0018153B">
        <w:t xml:space="preserve"> anthology</w:t>
      </w:r>
      <w:r w:rsidR="00BF246A">
        <w:t xml:space="preserve"> </w:t>
      </w:r>
      <w:r w:rsidR="00BF246A">
        <w:rPr>
          <w:i/>
        </w:rPr>
        <w:t>Of Ong and Media Ecology</w:t>
      </w:r>
      <w:r w:rsidR="00BF246A">
        <w:t>, edited by</w:t>
      </w:r>
      <w:r w:rsidR="0018153B">
        <w:t xml:space="preserve"> Thomas J. Farrell</w:t>
      </w:r>
      <w:r w:rsidR="00BF246A">
        <w:t xml:space="preserve"> and Paul A. Soukup </w:t>
      </w:r>
      <w:r w:rsidR="0011057E">
        <w:t>(</w:t>
      </w:r>
      <w:r w:rsidR="00ED0057">
        <w:t>Hampton Press</w:t>
      </w:r>
      <w:r w:rsidR="00BF246A">
        <w:t>, pp. 117-</w:t>
      </w:r>
      <w:r w:rsidR="0018153B">
        <w:t>1</w:t>
      </w:r>
      <w:r w:rsidR="00BF246A">
        <w:t xml:space="preserve">41). </w:t>
      </w:r>
    </w:p>
    <w:p w14:paraId="6750EDC2" w14:textId="7B6BD346" w:rsidR="007236FC" w:rsidRPr="00072695" w:rsidRDefault="00EF12AB" w:rsidP="000A0883">
      <w:pPr>
        <w:spacing w:line="480" w:lineRule="auto"/>
        <w:ind w:left="720" w:hanging="720"/>
      </w:pPr>
      <w:r>
        <w:t>(4</w:t>
      </w:r>
      <w:r w:rsidR="00EC6D9B">
        <w:t xml:space="preserve">) Ong’s </w:t>
      </w:r>
      <w:r w:rsidR="009C73F7">
        <w:rPr>
          <w:i/>
        </w:rPr>
        <w:t>Rhetoric, Romance, and Technology: Studies in the Interaction of Expression and Culture</w:t>
      </w:r>
      <w:r w:rsidR="009C73F7">
        <w:t xml:space="preserve"> (</w:t>
      </w:r>
      <w:r w:rsidR="0018153B">
        <w:t xml:space="preserve">Cornell University Press, </w:t>
      </w:r>
      <w:r w:rsidR="009C73F7">
        <w:t>1971).</w:t>
      </w:r>
      <w:r w:rsidR="0071227A">
        <w:t xml:space="preserve"> </w:t>
      </w:r>
      <w:r w:rsidR="007236FC">
        <w:t>In Ong’s</w:t>
      </w:r>
      <w:r w:rsidR="0071227A">
        <w:t xml:space="preserve"> 1971</w:t>
      </w:r>
      <w:r w:rsidR="007236FC">
        <w:t xml:space="preserve"> book</w:t>
      </w:r>
      <w:r w:rsidR="0071227A">
        <w:t xml:space="preserve"> (pp. 10-11),</w:t>
      </w:r>
      <w:r w:rsidR="007236FC">
        <w:t xml:space="preserve"> he makes the following statement about Erich Neumann’s Jungian account of the stages of consciousness</w:t>
      </w:r>
      <w:r w:rsidR="0071227A">
        <w:t xml:space="preserve"> in his 1954 book </w:t>
      </w:r>
      <w:r w:rsidR="0071227A">
        <w:rPr>
          <w:i/>
          <w:iCs/>
        </w:rPr>
        <w:t>The Origins and History of Consciousness</w:t>
      </w:r>
      <w:r w:rsidR="0071227A">
        <w:t xml:space="preserve">, translated by </w:t>
      </w:r>
      <w:r w:rsidR="003C0F6B">
        <w:t>R. F. C. Hull</w:t>
      </w:r>
      <w:r w:rsidR="0071227A">
        <w:t xml:space="preserve"> (Pantheon Books)</w:t>
      </w:r>
      <w:r w:rsidR="007236FC">
        <w:t>:</w:t>
      </w:r>
      <w:r w:rsidR="003C0F6B">
        <w:t xml:space="preserve"> </w:t>
      </w:r>
      <w:r w:rsidR="007236FC">
        <w:t>“The stages of psychic development as treated by Neumann are successively (1) the infantile undifferentiated self-contained whole symbolized by the uroboros (tail-eater), the serpent with it tail in its mouth, as well as be other circular or global mythological figures [including Nietzsche’s imagery about the eternal return?], (2) the Great Mother (the impersonal womb from which each human infant, male or female, comes, the impersonal femininity which may swallow him [or her] up again), (3) the separation of the world parents (the principle of opposites, differentiation, possibility of change, (4) the birth of the hero (rise of masculinity and of the personalized ego) with its sequels in (5) the slaying of the mother (fight with the dragon: victory over primal creative but consuming femininity, chthonic forces), and (6) the slaying of the father (symbol of thwarting obstruction of individual achievement, [thwarting] what is new), (7) the freeing of the captive (liberation of the ego from endogamous [i.e., “married” within one’s psyche] kinship libido and the emergence of the higher femininity, with woman now as person, anima-sister, related positively to ego consciousness), and finally (8) the transformation (new unity in self-conscious individualization, higher masculinity, expressed primordially in the Osiris myth but today entering new phases with heightened individualism [such as Nietzsche’s overman] – or, more properly, personalism – of modern man [sic]).”</w:t>
      </w:r>
      <w:r w:rsidR="00B3404C">
        <w:t xml:space="preserve"> In any event, Ong’s entire 1971 essay “Rhetoric and the Origins of Consciousness” from his 1971 essay collection (pp. 1-22) </w:t>
      </w:r>
      <w:r w:rsidR="00B3404C">
        <w:lastRenderedPageBreak/>
        <w:t>is reprinted in volume</w:t>
      </w:r>
      <w:r w:rsidR="00190671">
        <w:t xml:space="preserve"> four of Ong’s </w:t>
      </w:r>
      <w:r w:rsidR="00190671">
        <w:rPr>
          <w:i/>
          <w:iCs/>
        </w:rPr>
        <w:t>Faith and Contexts</w:t>
      </w:r>
      <w:r w:rsidR="00190671">
        <w:t xml:space="preserve">, edited by Thomas J. Farrell and Paul A. Soukup (Scholars Press, 1999, pp. 93-102). </w:t>
      </w:r>
      <w:r w:rsidR="007236FC">
        <w:t xml:space="preserve">Ong also sums up Neumann’s Jungian account of the stages of consciousness in his (Ong’s) book </w:t>
      </w:r>
      <w:r w:rsidR="007236FC">
        <w:rPr>
          <w:i/>
          <w:iCs/>
        </w:rPr>
        <w:t>Fighting for Life: Contest, Sexuality, and Consciousness</w:t>
      </w:r>
      <w:r w:rsidR="007236FC">
        <w:t xml:space="preserve"> (Cornell University Press, 1981, p</w:t>
      </w:r>
      <w:r w:rsidR="003C0F6B">
        <w:t>p.</w:t>
      </w:r>
      <w:r w:rsidR="007236FC">
        <w:t xml:space="preserve"> 18-19; but also see the “Index” for further references to Neumann [p</w:t>
      </w:r>
      <w:r w:rsidR="003C0F6B">
        <w:t>.</w:t>
      </w:r>
      <w:r w:rsidR="007236FC">
        <w:t xml:space="preserve"> 228]), the published version of Ong’s 1979 Messenger Lectures at Cornell University.</w:t>
      </w:r>
      <w:r w:rsidR="007A6BDF">
        <w:t xml:space="preserve"> In addition, Ong discusses Erik H. Erikson’s Freudian account of the eight stages of psycho-sexual development in his beautiful 1967 seminal book </w:t>
      </w:r>
      <w:r w:rsidR="00691C71">
        <w:rPr>
          <w:i/>
          <w:iCs/>
        </w:rPr>
        <w:t>The Presence of the Word: Some Prolegomena for cultural and religious History</w:t>
      </w:r>
      <w:r w:rsidR="00691C71">
        <w:t xml:space="preserve"> (Yale University Press, pp. </w:t>
      </w:r>
      <w:r w:rsidR="00F17677">
        <w:t>104-105</w:t>
      </w:r>
      <w:r w:rsidR="00691C71">
        <w:t>).</w:t>
      </w:r>
      <w:r w:rsidR="00312054">
        <w:t xml:space="preserve"> Taking hints from Ong, I discuss</w:t>
      </w:r>
      <w:r w:rsidR="00691C71">
        <w:t xml:space="preserve"> both</w:t>
      </w:r>
      <w:r w:rsidR="00312054">
        <w:t xml:space="preserve"> Neumann’s </w:t>
      </w:r>
      <w:r w:rsidR="00691C71">
        <w:t>Jungian account and Erikson’s Freudian account of ego consciousness</w:t>
      </w:r>
      <w:r w:rsidR="00312054">
        <w:t xml:space="preserve"> in </w:t>
      </w:r>
      <w:r w:rsidR="005959B8">
        <w:t>Thomas J. Farrell’s</w:t>
      </w:r>
      <w:r w:rsidR="00312054">
        <w:t xml:space="preserve"> 1991 essay “Secondary Orality and Consciousness Today” in the</w:t>
      </w:r>
      <w:r w:rsidR="00072695">
        <w:t xml:space="preserve"> 1991</w:t>
      </w:r>
      <w:r w:rsidR="00312054">
        <w:t xml:space="preserve"> essay collection </w:t>
      </w:r>
      <w:r w:rsidR="00072695">
        <w:rPr>
          <w:i/>
          <w:iCs/>
        </w:rPr>
        <w:t>Media, Consciousness, and culture: Explorations of Walter Ong’s Thought</w:t>
      </w:r>
      <w:r w:rsidR="00072695">
        <w:t xml:space="preserve">, edited by Bruce E. </w:t>
      </w:r>
      <w:proofErr w:type="spellStart"/>
      <w:r w:rsidR="00072695">
        <w:t>Gronbeck</w:t>
      </w:r>
      <w:proofErr w:type="spellEnd"/>
      <w:r w:rsidR="00072695">
        <w:t>, Thomas J. Farrell and Paul A. Soukup (Sage Publications, pp. 194-209).</w:t>
      </w:r>
    </w:p>
    <w:p w14:paraId="08AB6E21" w14:textId="5F1E5BED" w:rsidR="001806C0" w:rsidRDefault="00EF12AB" w:rsidP="000A0883">
      <w:pPr>
        <w:spacing w:line="480" w:lineRule="auto"/>
        <w:ind w:left="720" w:hanging="720"/>
      </w:pPr>
      <w:r>
        <w:t>(5</w:t>
      </w:r>
      <w:r w:rsidR="009C73F7">
        <w:t xml:space="preserve">) Ong’s </w:t>
      </w:r>
      <w:r w:rsidR="009C73F7">
        <w:rPr>
          <w:i/>
        </w:rPr>
        <w:t>Interfaces of the Word: Studies in the Evolution of Consciousness and Culture</w:t>
      </w:r>
      <w:r w:rsidR="009C73F7">
        <w:t xml:space="preserve"> (</w:t>
      </w:r>
      <w:r w:rsidR="006B7E3E">
        <w:t xml:space="preserve">Cornell University Press, </w:t>
      </w:r>
      <w:r w:rsidR="009C73F7">
        <w:t>1977).</w:t>
      </w:r>
      <w:r w:rsidR="004C6369">
        <w:t xml:space="preserve"> </w:t>
      </w:r>
      <w:r w:rsidR="001806C0">
        <w:t xml:space="preserve">In </w:t>
      </w:r>
      <w:r w:rsidR="00E3361F">
        <w:t>Ong’s</w:t>
      </w:r>
      <w:r w:rsidR="001806C0">
        <w:t xml:space="preserve"> “Preface” to </w:t>
      </w:r>
      <w:r w:rsidR="00E3361F">
        <w:t>his 1977 (</w:t>
      </w:r>
      <w:r w:rsidR="001806C0">
        <w:t>p</w:t>
      </w:r>
      <w:r w:rsidR="00E3361F">
        <w:t>p.</w:t>
      </w:r>
      <w:r w:rsidR="001806C0">
        <w:t xml:space="preserve"> 9-13), he says the following in the first sentence: “The present volume carries forward work in two earlier volume</w:t>
      </w:r>
      <w:r w:rsidR="00E3361F">
        <w:t>s</w:t>
      </w:r>
      <w:r w:rsidR="001806C0">
        <w:t xml:space="preserve"> by the same author, </w:t>
      </w:r>
      <w:r w:rsidR="001806C0">
        <w:rPr>
          <w:i/>
        </w:rPr>
        <w:t>The Presence of the Word</w:t>
      </w:r>
      <w:r w:rsidR="001806C0">
        <w:t xml:space="preserve"> (1967) and </w:t>
      </w:r>
      <w:r w:rsidR="001806C0">
        <w:rPr>
          <w:i/>
        </w:rPr>
        <w:t>Rhetoric Romance, and Technology</w:t>
      </w:r>
      <w:r w:rsidR="001806C0">
        <w:t xml:space="preserve"> (1971).” He then discusses these two earlier volumes.</w:t>
      </w:r>
      <w:r w:rsidR="004C6369">
        <w:t xml:space="preserve"> </w:t>
      </w:r>
      <w:r w:rsidR="001806C0">
        <w:t xml:space="preserve">Then he says, “The thesis of these two earlier works is sweeping, but it is not reductionist, as reviewers and commentators, so far as I know, have all generously recognized: the works do not maintain that the evolution from primary orality through writing and print to an electronic culture, which produces secondary orality, causes or explain everything in human culture and consciousness. Rather, the thesis is relationist: major developments, and very likely even all major developments, in culture and consciousness are related, often in unexpected intimacy, to the evolution of the word from primary orality to its </w:t>
      </w:r>
      <w:r w:rsidR="001806C0">
        <w:lastRenderedPageBreak/>
        <w:t>present state. But the relationships are varied and complex, with cause and effect often difficult to distinguish” (p</w:t>
      </w:r>
      <w:r w:rsidR="004C6369">
        <w:t>p.</w:t>
      </w:r>
      <w:r w:rsidR="001806C0">
        <w:t xml:space="preserve"> 9-10).</w:t>
      </w:r>
      <w:r w:rsidR="004C6369">
        <w:t xml:space="preserve"> </w:t>
      </w:r>
      <w:r w:rsidR="001806C0">
        <w:t>Thus</w:t>
      </w:r>
      <w:r w:rsidR="004C6369">
        <w:t>,</w:t>
      </w:r>
      <w:r w:rsidR="001806C0">
        <w:t xml:space="preserve"> Ong himself claims (1) that his thesis is “sweeping” but (2) that the shifts do not “cause or explain everything in human culture and consciousness” and (3) that the shifts are related to “major developments, and very likely even all major developments, in culture and consciousness.”</w:t>
      </w:r>
      <w:r w:rsidR="004C6369">
        <w:t xml:space="preserve"> </w:t>
      </w:r>
      <w:r w:rsidR="001806C0">
        <w:t>Major cultural developments include the rise of modern science, the rise of modern capitalism, the rise of representative democracy, the rise of the Industrial Revolution, and the rise of the Romantic Movement in philosophy, literature, and the arts.</w:t>
      </w:r>
      <w:r w:rsidR="004C6369">
        <w:t xml:space="preserve"> For all practical purposes,</w:t>
      </w:r>
      <w:r w:rsidR="001806C0">
        <w:t xml:space="preserve"> Ong implicitly works with this thesis in his massively researched</w:t>
      </w:r>
      <w:r w:rsidR="004C6369">
        <w:t xml:space="preserve"> 1958</w:t>
      </w:r>
      <w:r w:rsidR="001806C0">
        <w:t xml:space="preserve"> book </w:t>
      </w:r>
      <w:r w:rsidR="001806C0">
        <w:rPr>
          <w:i/>
        </w:rPr>
        <w:t>Ramus, Method, and the Decay of Dialogue: From the Art of Discourse to the Art of Reason</w:t>
      </w:r>
      <w:r w:rsidR="001806C0">
        <w:t xml:space="preserve"> (Harvard University Press) – his major exploration of the influence of the Gutenberg printing press that emerged in the mid-1450s. Taking a hint from Ong’s massively researched 1958 book, Marshall McLuhan worked up some examples of his own in his sweeping 1962 book </w:t>
      </w:r>
      <w:r w:rsidR="001806C0">
        <w:rPr>
          <w:i/>
          <w:iCs/>
        </w:rPr>
        <w:t>The Gutenberg Galaxy: The Making of Typographic Man</w:t>
      </w:r>
      <w:r w:rsidR="001806C0">
        <w:t xml:space="preserve"> (University of Toronto Press).</w:t>
      </w:r>
      <w:r w:rsidR="004C6369">
        <w:t xml:space="preserve"> </w:t>
      </w:r>
      <w:r w:rsidR="001806C0">
        <w:t xml:space="preserve">Next in Ong’s 1977 </w:t>
      </w:r>
      <w:r w:rsidR="004C6369">
        <w:t>“P</w:t>
      </w:r>
      <w:r w:rsidR="001806C0">
        <w:t>reface,</w:t>
      </w:r>
      <w:r w:rsidR="004C6369">
        <w:t>”</w:t>
      </w:r>
      <w:r w:rsidR="001806C0">
        <w:t xml:space="preserve"> he explains certain lines of investigation that he further develops in </w:t>
      </w:r>
      <w:r w:rsidR="001806C0">
        <w:rPr>
          <w:i/>
        </w:rPr>
        <w:t>Interfaces of the Word</w:t>
      </w:r>
      <w:r w:rsidR="001806C0">
        <w:t>. Then he says, “At a few points, I refer in passing to the work of French and other European structuralists – variously psychoanalytic, phenomenological, linguistic, or anthropological in cast” (p</w:t>
      </w:r>
      <w:r w:rsidR="004C6369">
        <w:t>.</w:t>
      </w:r>
      <w:r w:rsidR="001806C0">
        <w:t xml:space="preserve"> 10). Ong liked to characterize his own thought as phenomenological and personalist in cast.</w:t>
      </w:r>
      <w:r w:rsidR="004C6369">
        <w:t xml:space="preserve"> </w:t>
      </w:r>
      <w:r w:rsidR="001806C0">
        <w:t>However, Ong is not everybody’s cup of tea, figuratively speaking. Consider, for example, Ong’s own modesty in the subtitle of his</w:t>
      </w:r>
      <w:r w:rsidR="004C6369">
        <w:t xml:space="preserve"> 1967</w:t>
      </w:r>
      <w:r w:rsidR="001806C0">
        <w:t xml:space="preserve"> book </w:t>
      </w:r>
      <w:r w:rsidR="001806C0">
        <w:rPr>
          <w:i/>
          <w:iCs/>
        </w:rPr>
        <w:t>The Presence of the Word: Some Prolegomena for Cultural and Religious History</w:t>
      </w:r>
      <w:r w:rsidR="001806C0">
        <w:t xml:space="preserve"> (Yale University Press). His wording “Some Prolegomena” clearly acknowledges that he does not explicitly claim that his thesis as he formulated it in his 1977 “Preface” does “explain everything in human culture and consciousness” – or every cause -- but that the shifts he points out are “sweeping.”</w:t>
      </w:r>
      <w:r w:rsidR="002976B7">
        <w:t xml:space="preserve"> </w:t>
      </w:r>
      <w:r w:rsidR="001806C0">
        <w:t xml:space="preserve">Now, please note just how careful and cagey Ong’s wording is when he says that his account of the evolution </w:t>
      </w:r>
      <w:r w:rsidR="001806C0">
        <w:lastRenderedPageBreak/>
        <w:t>of certain changes does not “explain everything in human culture and consciousness” – or every cause.</w:t>
      </w:r>
      <w:r w:rsidR="004C6369">
        <w:t xml:space="preserve"> </w:t>
      </w:r>
      <w:r w:rsidR="001806C0">
        <w:t>On the one hand, Ong’s terminology about primary oral culture (and primary orality, for short; and his earlier terminology about primarily oral culture) is sweeping inasmuch as it refers to all of our pre-historic human ancestors.</w:t>
      </w:r>
      <w:r w:rsidR="004C6369">
        <w:t xml:space="preserve"> </w:t>
      </w:r>
      <w:r w:rsidR="001806C0">
        <w:t>On the other hand, his cagey remark about sorting out cause and effect does not automatically rule out the possibility that certain changes somehow contributed to the eventual historical development of writing systems and specifically phonetic alphabetic writing (= literacy) as well as to the historical development of human settlement in agriculture (or agrarian) societies and economies.</w:t>
      </w:r>
      <w:r w:rsidR="004C6369">
        <w:t xml:space="preserve"> Finally, as a thought experiment, consider what you would have to say to directly contradict Ong’s thesis: </w:t>
      </w:r>
      <w:r w:rsidR="00EF5793">
        <w:t>“</w:t>
      </w:r>
      <w:r w:rsidR="004C6369">
        <w:t>N</w:t>
      </w:r>
      <w:r w:rsidR="002976B7">
        <w:t>O</w:t>
      </w:r>
      <w:r w:rsidR="004C6369">
        <w:t>,</w:t>
      </w:r>
      <w:r w:rsidR="002976B7">
        <w:t xml:space="preserve"> major developments, and very likely even all major developments, in culture and consciousness are NOT related, NOT often in unexpected intimacy, to the evolution of the word from primary orality to its present state. NO, the relationships are NOT varied and complex, with cause and effect often difficult to distinguish.” But how many people are prepared to embrace such a counter-thesis? Are you?</w:t>
      </w:r>
    </w:p>
    <w:p w14:paraId="7BAAB50E" w14:textId="32B16943" w:rsidR="004F176D" w:rsidRDefault="004F176D" w:rsidP="000A0883">
      <w:pPr>
        <w:spacing w:line="480" w:lineRule="auto"/>
        <w:ind w:left="720" w:hanging="720"/>
      </w:pPr>
      <w:r>
        <w:t xml:space="preserve">(6) Ong’s 1978 article “Literacy and Orality in Our Times” in the journal </w:t>
      </w:r>
      <w:r w:rsidRPr="004F176D">
        <w:rPr>
          <w:i/>
          <w:iCs/>
        </w:rPr>
        <w:t>ADE Bulletin: A Journal for Administrators of Departments of English in American Colleges and Universities</w:t>
      </w:r>
      <w:r>
        <w:t>, 58, pp. 1-7.</w:t>
      </w:r>
      <w:r w:rsidR="00B2293E">
        <w:t xml:space="preserve"> This is Ong’s most frequently reprinted article.</w:t>
      </w:r>
    </w:p>
    <w:p w14:paraId="5BF056DD" w14:textId="3F62AF50" w:rsidR="00B2293E" w:rsidRDefault="00B2293E" w:rsidP="00B2293E">
      <w:pPr>
        <w:spacing w:line="480" w:lineRule="auto"/>
        <w:ind w:left="2160" w:hanging="2160"/>
      </w:pPr>
      <w:r>
        <w:t xml:space="preserve">(7) Ong’s </w:t>
      </w:r>
      <w:r>
        <w:rPr>
          <w:i/>
        </w:rPr>
        <w:t>Orality and Literacy: The Technologizing of the Word</w:t>
      </w:r>
      <w:r>
        <w:t xml:space="preserve"> (Methuen, 1982, esp. pp. 1-77).</w:t>
      </w:r>
    </w:p>
    <w:p w14:paraId="2AB98152" w14:textId="54C427C9" w:rsidR="00BD6BA5" w:rsidRPr="00BD6BA5" w:rsidRDefault="00BD6BA5" w:rsidP="000A0883">
      <w:pPr>
        <w:spacing w:line="480" w:lineRule="auto"/>
        <w:ind w:left="720" w:hanging="720"/>
      </w:pPr>
      <w:r>
        <w:t>(</w:t>
      </w:r>
      <w:r w:rsidR="00B2293E">
        <w:t>8</w:t>
      </w:r>
      <w:r>
        <w:t xml:space="preserve">) Ong’s 1987 article “Orality-Literacy Studies and the Unity of the Human Race” in the journal </w:t>
      </w:r>
      <w:r>
        <w:rPr>
          <w:i/>
          <w:iCs/>
        </w:rPr>
        <w:t>Oral Tradition</w:t>
      </w:r>
      <w:r>
        <w:t xml:space="preserve">, 2.1, pp. 371-382. It is reprinted in volume one of Ong’s </w:t>
      </w:r>
      <w:r>
        <w:rPr>
          <w:i/>
          <w:iCs/>
        </w:rPr>
        <w:t>Faith and Contexts</w:t>
      </w:r>
      <w:r>
        <w:t>, edited by Thomas J. Farrell and Paul A. Soukup (Scholars Press, pp. 209-218).</w:t>
      </w:r>
    </w:p>
    <w:p w14:paraId="7BF14EEA" w14:textId="476D6010" w:rsidR="00E45194" w:rsidRPr="00A67D73" w:rsidRDefault="00473FAD" w:rsidP="000A0883">
      <w:pPr>
        <w:spacing w:line="480" w:lineRule="auto"/>
        <w:ind w:left="720" w:hanging="720"/>
      </w:pPr>
      <w:r>
        <w:t>(</w:t>
      </w:r>
      <w:r w:rsidR="003268FD">
        <w:t>9</w:t>
      </w:r>
      <w:r>
        <w:t>)</w:t>
      </w:r>
      <w:r w:rsidR="00E45194">
        <w:t xml:space="preserve"> </w:t>
      </w:r>
      <w:r w:rsidR="00A67D73">
        <w:t xml:space="preserve">H. M. Chadwick and Nora K. Chadwick’s </w:t>
      </w:r>
      <w:r w:rsidR="00A67D73">
        <w:rPr>
          <w:i/>
          <w:iCs/>
        </w:rPr>
        <w:t>The Growth of Literature [Out of Oral Tradition]</w:t>
      </w:r>
      <w:r w:rsidR="00A67D73">
        <w:t>, 3 vols. (Cambridge University Press, 1932, 1936, and 1940). A classic.</w:t>
      </w:r>
    </w:p>
    <w:p w14:paraId="60376935" w14:textId="08B40EF6" w:rsidR="00473FAD" w:rsidRPr="003D2FE9" w:rsidRDefault="00473FAD" w:rsidP="000A0883">
      <w:pPr>
        <w:spacing w:line="480" w:lineRule="auto"/>
        <w:ind w:left="720" w:hanging="720"/>
      </w:pPr>
      <w:r>
        <w:lastRenderedPageBreak/>
        <w:t>(</w:t>
      </w:r>
      <w:r w:rsidR="003268FD">
        <w:t>10</w:t>
      </w:r>
      <w:r>
        <w:t>)</w:t>
      </w:r>
      <w:r w:rsidR="007D1243">
        <w:t xml:space="preserve"> </w:t>
      </w:r>
      <w:proofErr w:type="spellStart"/>
      <w:r w:rsidR="007D1243">
        <w:t>Milman</w:t>
      </w:r>
      <w:proofErr w:type="spellEnd"/>
      <w:r w:rsidR="007D1243">
        <w:t xml:space="preserve"> Parry’s </w:t>
      </w:r>
      <w:r w:rsidR="003D2FE9">
        <w:rPr>
          <w:i/>
          <w:iCs/>
        </w:rPr>
        <w:t xml:space="preserve">The Making of Homeric Verse: The Collected Papers of </w:t>
      </w:r>
      <w:proofErr w:type="spellStart"/>
      <w:r w:rsidR="003D2FE9">
        <w:rPr>
          <w:i/>
          <w:iCs/>
        </w:rPr>
        <w:t>Milman</w:t>
      </w:r>
      <w:proofErr w:type="spellEnd"/>
      <w:r w:rsidR="003D2FE9">
        <w:rPr>
          <w:i/>
          <w:iCs/>
        </w:rPr>
        <w:t xml:space="preserve"> Parry</w:t>
      </w:r>
      <w:r w:rsidR="003D2FE9">
        <w:t xml:space="preserve">, edited by Adam Parry (Oxford University Press, </w:t>
      </w:r>
      <w:r w:rsidR="00E45194">
        <w:t>1971).</w:t>
      </w:r>
    </w:p>
    <w:p w14:paraId="72D56B69" w14:textId="0DB3991A" w:rsidR="00552D5A" w:rsidRPr="00F23B4B" w:rsidRDefault="00EF12AB" w:rsidP="000A0883">
      <w:pPr>
        <w:spacing w:line="480" w:lineRule="auto"/>
        <w:ind w:left="720" w:hanging="720"/>
      </w:pPr>
      <w:r>
        <w:t>(</w:t>
      </w:r>
      <w:r w:rsidR="00BD6BA5">
        <w:t>1</w:t>
      </w:r>
      <w:r w:rsidR="003268FD">
        <w:t>1</w:t>
      </w:r>
      <w:r w:rsidR="007918B0">
        <w:t>) Albert B. Lord’s</w:t>
      </w:r>
      <w:r w:rsidR="002761DE">
        <w:t xml:space="preserve"> </w:t>
      </w:r>
      <w:r w:rsidR="002761DE">
        <w:rPr>
          <w:i/>
        </w:rPr>
        <w:t>The Singer of Tales</w:t>
      </w:r>
      <w:r w:rsidR="002761DE">
        <w:t xml:space="preserve"> (</w:t>
      </w:r>
      <w:r w:rsidR="008F3B7F">
        <w:t>Harvard</w:t>
      </w:r>
      <w:r w:rsidR="00972A97">
        <w:t xml:space="preserve"> University Press</w:t>
      </w:r>
      <w:r w:rsidR="008F3B7F">
        <w:t>, 1960).</w:t>
      </w:r>
      <w:r w:rsidR="009511B6">
        <w:t xml:space="preserve"> Ong’s review of Lord’s 1960 book is reprinted in </w:t>
      </w:r>
      <w:r w:rsidR="009511B6">
        <w:rPr>
          <w:i/>
          <w:iCs/>
        </w:rPr>
        <w:t>An Ong Reader: Challenges for Further Inquiry</w:t>
      </w:r>
      <w:r w:rsidR="00F23B4B">
        <w:t>, edited by Thomas J. Farrell and Paul A. Soukup (Hampton Press, 2002, pp. 301-306).</w:t>
      </w:r>
    </w:p>
    <w:p w14:paraId="008693DC" w14:textId="669A5598" w:rsidR="00951A4E" w:rsidRDefault="00EF12AB" w:rsidP="000A0883">
      <w:pPr>
        <w:spacing w:line="480" w:lineRule="auto"/>
        <w:ind w:left="720" w:hanging="720"/>
      </w:pPr>
      <w:r>
        <w:t>(</w:t>
      </w:r>
      <w:r w:rsidR="00473FAD">
        <w:t>1</w:t>
      </w:r>
      <w:r w:rsidR="003268FD">
        <w:t>2</w:t>
      </w:r>
      <w:r w:rsidR="00951A4E">
        <w:t>) Eric A. Havelock’s</w:t>
      </w:r>
      <w:r w:rsidR="008F3B7F">
        <w:t xml:space="preserve"> </w:t>
      </w:r>
      <w:r w:rsidR="008F3B7F">
        <w:rPr>
          <w:i/>
        </w:rPr>
        <w:t>Preface to Plato</w:t>
      </w:r>
      <w:r w:rsidR="008F3B7F">
        <w:t xml:space="preserve"> (Belknap P</w:t>
      </w:r>
      <w:r w:rsidR="006B7E3E">
        <w:t>ress</w:t>
      </w:r>
      <w:r w:rsidR="008F3B7F">
        <w:t xml:space="preserve"> of Harvard</w:t>
      </w:r>
      <w:r w:rsidR="00972A97">
        <w:t xml:space="preserve"> University Press</w:t>
      </w:r>
      <w:r w:rsidR="008F3B7F">
        <w:t>, 1963).</w:t>
      </w:r>
      <w:r w:rsidR="00F23B4B">
        <w:t xml:space="preserve"> Ong’s review of Havelock’s 1963 book is reprinted in </w:t>
      </w:r>
      <w:r w:rsidR="00F23B4B">
        <w:rPr>
          <w:i/>
          <w:iCs/>
        </w:rPr>
        <w:t>An Ong Reader: Challenges for Further Inquiry</w:t>
      </w:r>
      <w:r w:rsidR="00F23B4B">
        <w:t>, edited by Thomas J. Farrell and Paul A. Soukup (Hampton Press, 2002, pp. 309-312).</w:t>
      </w:r>
    </w:p>
    <w:p w14:paraId="4CB52C6B" w14:textId="31438C87" w:rsidR="00846FF8" w:rsidRDefault="00846FF8" w:rsidP="000A0883">
      <w:pPr>
        <w:spacing w:line="480" w:lineRule="auto"/>
        <w:ind w:left="720" w:hanging="720"/>
      </w:pPr>
      <w:r>
        <w:t>(1</w:t>
      </w:r>
      <w:r w:rsidR="003268FD">
        <w:t>3</w:t>
      </w:r>
      <w:r>
        <w:t xml:space="preserve">) Eric A. Havelock’s </w:t>
      </w:r>
      <w:r>
        <w:rPr>
          <w:i/>
          <w:iCs/>
        </w:rPr>
        <w:t>The Greek Concept of Justice: From Its Shadow in Homer to Its Substance in Plato</w:t>
      </w:r>
      <w:r>
        <w:t xml:space="preserve"> (Harvard University Press, 1978).</w:t>
      </w:r>
    </w:p>
    <w:p w14:paraId="5504E006" w14:textId="5F8A2008" w:rsidR="00846FF8" w:rsidRDefault="00E82029" w:rsidP="000A0883">
      <w:pPr>
        <w:spacing w:line="480" w:lineRule="auto"/>
        <w:ind w:left="720" w:hanging="720"/>
      </w:pPr>
      <w:r>
        <w:t>(1</w:t>
      </w:r>
      <w:r w:rsidR="003268FD">
        <w:t>4</w:t>
      </w:r>
      <w:r>
        <w:t xml:space="preserve">) Charles H. Kahn’s </w:t>
      </w:r>
      <w:r>
        <w:rPr>
          <w:i/>
          <w:iCs/>
        </w:rPr>
        <w:t>The Verb ‘Be’ in Ancient Greek</w:t>
      </w:r>
      <w:r>
        <w:t xml:space="preserve"> (</w:t>
      </w:r>
      <w:r w:rsidR="001E4318">
        <w:t xml:space="preserve">D. </w:t>
      </w:r>
      <w:proofErr w:type="spellStart"/>
      <w:r w:rsidR="001E4318">
        <w:t>Reidel</w:t>
      </w:r>
      <w:proofErr w:type="spellEnd"/>
      <w:r w:rsidR="001E4318">
        <w:t xml:space="preserve"> Publishing, 1973).</w:t>
      </w:r>
    </w:p>
    <w:p w14:paraId="26518DAF" w14:textId="1580A581" w:rsidR="001E4318" w:rsidRPr="003268FD" w:rsidRDefault="001E4318" w:rsidP="000A0883">
      <w:pPr>
        <w:spacing w:line="480" w:lineRule="auto"/>
        <w:ind w:left="720" w:hanging="720"/>
      </w:pPr>
      <w:r>
        <w:t>(1</w:t>
      </w:r>
      <w:r w:rsidR="003268FD">
        <w:t>5</w:t>
      </w:r>
      <w:r>
        <w:t>)</w:t>
      </w:r>
      <w:r w:rsidR="003268FD">
        <w:t xml:space="preserve"> Thomas J. Farrell’s article “IQ and Standard English” in the</w:t>
      </w:r>
      <w:r w:rsidR="0082466A">
        <w:t xml:space="preserve"> NCTE</w:t>
      </w:r>
      <w:r w:rsidR="003268FD">
        <w:t xml:space="preserve"> journal </w:t>
      </w:r>
      <w:r w:rsidR="003268FD">
        <w:rPr>
          <w:i/>
          <w:iCs/>
        </w:rPr>
        <w:t xml:space="preserve">College </w:t>
      </w:r>
      <w:r w:rsidR="0082466A">
        <w:rPr>
          <w:i/>
          <w:iCs/>
        </w:rPr>
        <w:t>Composition and Communication</w:t>
      </w:r>
      <w:r w:rsidR="003268FD">
        <w:t>, 34, pp. 470-484.</w:t>
      </w:r>
    </w:p>
    <w:p w14:paraId="0FD947AD" w14:textId="2017C8EC" w:rsidR="00846FF8" w:rsidRPr="001A4F07" w:rsidRDefault="003268FD" w:rsidP="000A0883">
      <w:pPr>
        <w:spacing w:line="480" w:lineRule="auto"/>
        <w:ind w:left="720" w:hanging="720"/>
      </w:pPr>
      <w:r>
        <w:t xml:space="preserve">(16) Thomas J. Farrell’s 1986 article “A Defense of Standard English” in the journal </w:t>
      </w:r>
      <w:r>
        <w:rPr>
          <w:i/>
          <w:iCs/>
        </w:rPr>
        <w:t>Pre/Text</w:t>
      </w:r>
      <w:r w:rsidR="0042645A">
        <w:rPr>
          <w:i/>
          <w:iCs/>
        </w:rPr>
        <w:t>: A Journal of Rhetorical Theory</w:t>
      </w:r>
      <w:r w:rsidR="001A4F07">
        <w:t xml:space="preserve">, 7, pp. 165-180. It is reprinted in the textbook </w:t>
      </w:r>
      <w:r w:rsidR="001A4F07">
        <w:rPr>
          <w:i/>
          <w:iCs/>
        </w:rPr>
        <w:t>Rhetoric: Concepts, Definitions, and Boundaries</w:t>
      </w:r>
      <w:r w:rsidR="001A4F07">
        <w:t>, edited by William A. Covino and David Jolliffe (Allyn and Bacon, 1995, pp. 667-678).</w:t>
      </w:r>
    </w:p>
    <w:p w14:paraId="45E31266" w14:textId="0CE65F49" w:rsidR="003A32E4" w:rsidRDefault="00EF12AB" w:rsidP="000A0883">
      <w:pPr>
        <w:spacing w:line="480" w:lineRule="auto"/>
        <w:ind w:left="720" w:hanging="720"/>
      </w:pPr>
      <w:r>
        <w:t>(</w:t>
      </w:r>
      <w:r w:rsidR="00473FAD">
        <w:t>1</w:t>
      </w:r>
      <w:r w:rsidR="001A4F07">
        <w:t>7</w:t>
      </w:r>
      <w:r w:rsidR="00552D5A">
        <w:t xml:space="preserve">) Marshall McLuhan’s </w:t>
      </w:r>
      <w:r w:rsidR="00552D5A">
        <w:rPr>
          <w:i/>
        </w:rPr>
        <w:t>The Gutenberg Galaxy: The Making of Typographic Man</w:t>
      </w:r>
      <w:r w:rsidR="00552D5A">
        <w:t xml:space="preserve"> (</w:t>
      </w:r>
      <w:r w:rsidR="00972A97">
        <w:t xml:space="preserve">University of </w:t>
      </w:r>
      <w:r w:rsidR="00552D5A">
        <w:t>Toronto P</w:t>
      </w:r>
      <w:r w:rsidR="006B7E3E">
        <w:t>ress</w:t>
      </w:r>
      <w:r w:rsidR="00552D5A">
        <w:t>, 1962).</w:t>
      </w:r>
    </w:p>
    <w:p w14:paraId="3345A4BB" w14:textId="0AFED650" w:rsidR="005C2F78" w:rsidRDefault="005C2F78" w:rsidP="000A0883">
      <w:pPr>
        <w:spacing w:line="480" w:lineRule="auto"/>
        <w:ind w:left="720" w:hanging="720"/>
      </w:pPr>
      <w:r>
        <w:t>(</w:t>
      </w:r>
      <w:r w:rsidR="00EF12AB">
        <w:t>1</w:t>
      </w:r>
      <w:r w:rsidR="001A4F07">
        <w:t>8</w:t>
      </w:r>
      <w:r>
        <w:t>) Mircea Eliade’s</w:t>
      </w:r>
      <w:r w:rsidR="0073599B">
        <w:t xml:space="preserve"> </w:t>
      </w:r>
      <w:proofErr w:type="gramStart"/>
      <w:r w:rsidR="0073599B">
        <w:rPr>
          <w:i/>
        </w:rPr>
        <w:t>The</w:t>
      </w:r>
      <w:proofErr w:type="gramEnd"/>
      <w:r w:rsidR="0073599B">
        <w:rPr>
          <w:i/>
        </w:rPr>
        <w:t xml:space="preserve"> Myth of the Eternal Return</w:t>
      </w:r>
      <w:r w:rsidR="0073599B">
        <w:t xml:space="preserve">, translated from the French by Willard Trask </w:t>
      </w:r>
      <w:r w:rsidR="0011057E">
        <w:t>(</w:t>
      </w:r>
      <w:r w:rsidR="0073599B">
        <w:t>Pantheon Books, 1954</w:t>
      </w:r>
      <w:r w:rsidR="006B7E3E">
        <w:t>; orig. French ed., 1949</w:t>
      </w:r>
      <w:r w:rsidR="0073599B">
        <w:t>).</w:t>
      </w:r>
      <w:r>
        <w:t xml:space="preserve"> </w:t>
      </w:r>
      <w:r w:rsidR="00B514B3">
        <w:t>A classic.</w:t>
      </w:r>
    </w:p>
    <w:p w14:paraId="11CD586D" w14:textId="0D41F653" w:rsidR="005C2F78" w:rsidRPr="00EC6D9B" w:rsidRDefault="00EF12AB" w:rsidP="000A0883">
      <w:pPr>
        <w:spacing w:line="480" w:lineRule="auto"/>
        <w:ind w:left="720" w:hanging="720"/>
      </w:pPr>
      <w:r>
        <w:lastRenderedPageBreak/>
        <w:t>(1</w:t>
      </w:r>
      <w:r w:rsidR="001A4F07">
        <w:t>9</w:t>
      </w:r>
      <w:r w:rsidR="005C2F78">
        <w:t>) Donald L. Fixico’s</w:t>
      </w:r>
      <w:r w:rsidR="00EC6D9B">
        <w:t xml:space="preserve"> </w:t>
      </w:r>
      <w:r w:rsidR="00EC6D9B">
        <w:rPr>
          <w:i/>
        </w:rPr>
        <w:t>The American Indian Mind in a Linear World: American Indian Studies and Traditional Knowledge</w:t>
      </w:r>
      <w:r w:rsidR="00EC6D9B">
        <w:t xml:space="preserve"> (Routledge, 2003).</w:t>
      </w:r>
      <w:r w:rsidR="0073599B">
        <w:t xml:space="preserve"> For all practical purposes, what Fixico refers to as American Indian tradition knowledge involves what Ong (1969) refers to as the world-as-event sense of life, and what Fixico refers to as the linear world involves what Ong</w:t>
      </w:r>
      <w:r w:rsidR="006B7E3E">
        <w:t xml:space="preserve"> (1969)</w:t>
      </w:r>
      <w:r w:rsidR="0073599B">
        <w:t xml:space="preserve"> refers to as the world-as-view sense of life.</w:t>
      </w:r>
    </w:p>
    <w:p w14:paraId="0DC613CF" w14:textId="506B378B" w:rsidR="00C97477" w:rsidRPr="007C7B9C" w:rsidRDefault="007C7B9C" w:rsidP="000A0883">
      <w:pPr>
        <w:spacing w:line="480" w:lineRule="auto"/>
        <w:ind w:left="720" w:hanging="720"/>
        <w:rPr>
          <w:i/>
        </w:rPr>
      </w:pPr>
      <w:r>
        <w:t>(</w:t>
      </w:r>
      <w:r w:rsidR="001A4F07">
        <w:t>20</w:t>
      </w:r>
      <w:r>
        <w:t>)</w:t>
      </w:r>
      <w:r w:rsidR="00C97477">
        <w:t xml:space="preserve"> David Abram’s </w:t>
      </w:r>
      <w:r w:rsidR="00C97477" w:rsidRPr="007C7B9C">
        <w:rPr>
          <w:i/>
        </w:rPr>
        <w:t>The Spell of the Sensuous: Perception and Language in a More-Than-Human World</w:t>
      </w:r>
      <w:r w:rsidR="007918B0">
        <w:t xml:space="preserve"> </w:t>
      </w:r>
      <w:r w:rsidR="0011057E">
        <w:t>(</w:t>
      </w:r>
      <w:r w:rsidR="007918B0">
        <w:t>Random House, 1996).</w:t>
      </w:r>
    </w:p>
    <w:p w14:paraId="02F2A73F" w14:textId="49D3A6D9" w:rsidR="008F3BC1" w:rsidRPr="00A1350A" w:rsidRDefault="00C97477" w:rsidP="000A0883">
      <w:pPr>
        <w:spacing w:line="480" w:lineRule="auto"/>
        <w:ind w:left="720" w:hanging="720"/>
        <w:rPr>
          <w:i/>
        </w:rPr>
      </w:pPr>
      <w:r>
        <w:t>(</w:t>
      </w:r>
      <w:r w:rsidR="001A4F07">
        <w:t>2</w:t>
      </w:r>
      <w:r w:rsidR="00EF12AB">
        <w:t>1</w:t>
      </w:r>
      <w:r w:rsidR="000924FE">
        <w:t>)</w:t>
      </w:r>
      <w:r w:rsidR="00581CC2">
        <w:t xml:space="preserve"> John Miles</w:t>
      </w:r>
      <w:r w:rsidR="000924FE">
        <w:t xml:space="preserve"> </w:t>
      </w:r>
      <w:r w:rsidR="008F3BC1">
        <w:t xml:space="preserve">Foley’s </w:t>
      </w:r>
      <w:r w:rsidR="008F3BC1" w:rsidRPr="00A1350A">
        <w:rPr>
          <w:i/>
        </w:rPr>
        <w:t>Teaching Oral Traditions</w:t>
      </w:r>
      <w:r w:rsidR="008F3BC1">
        <w:t xml:space="preserve"> </w:t>
      </w:r>
      <w:r w:rsidR="0011057E">
        <w:t>(</w:t>
      </w:r>
      <w:r w:rsidR="008F3BC1">
        <w:t>Modern Language Association, 1998)</w:t>
      </w:r>
      <w:r w:rsidR="007918B0">
        <w:t>.</w:t>
      </w:r>
    </w:p>
    <w:p w14:paraId="3206D475" w14:textId="4E3BBEFA" w:rsidR="001A5ACB" w:rsidRDefault="00EF12AB" w:rsidP="000A0883">
      <w:pPr>
        <w:spacing w:line="480" w:lineRule="auto"/>
        <w:ind w:left="720" w:hanging="720"/>
      </w:pPr>
      <w:r>
        <w:t>(</w:t>
      </w:r>
      <w:r w:rsidR="001A4F07">
        <w:t>22</w:t>
      </w:r>
      <w:r w:rsidR="001A5ACB">
        <w:t xml:space="preserve">) </w:t>
      </w:r>
      <w:r w:rsidR="00B41FFD">
        <w:t xml:space="preserve">Jeffrey Walker’s </w:t>
      </w:r>
      <w:r w:rsidR="00B41FFD" w:rsidRPr="00541CBF">
        <w:rPr>
          <w:i/>
        </w:rPr>
        <w:t>Rhetoric and Poetic in Antiquity</w:t>
      </w:r>
      <w:r w:rsidR="00B41FFD">
        <w:t xml:space="preserve"> (Oxford</w:t>
      </w:r>
      <w:r w:rsidR="00972A97">
        <w:t xml:space="preserve"> University Press</w:t>
      </w:r>
      <w:r w:rsidR="00B41FFD">
        <w:t>, 2000)</w:t>
      </w:r>
      <w:r w:rsidR="007918B0">
        <w:t>.</w:t>
      </w:r>
    </w:p>
    <w:p w14:paraId="4B116BAA" w14:textId="38983421" w:rsidR="007A58BE" w:rsidRPr="007A58BE" w:rsidRDefault="00EF12AB" w:rsidP="000A0883">
      <w:pPr>
        <w:spacing w:line="480" w:lineRule="auto"/>
        <w:ind w:left="720" w:hanging="720"/>
      </w:pPr>
      <w:r>
        <w:t>(</w:t>
      </w:r>
      <w:r w:rsidR="001A4F07">
        <w:t>23</w:t>
      </w:r>
      <w:r w:rsidR="007A58BE">
        <w:t xml:space="preserve">) Mark W. Edwards’ </w:t>
      </w:r>
      <w:r w:rsidR="007A58BE">
        <w:rPr>
          <w:i/>
        </w:rPr>
        <w:t>Sound, Sense, and Rhythm: Listening to Greek and Latin Poetry</w:t>
      </w:r>
      <w:r w:rsidR="007A58BE">
        <w:t xml:space="preserve"> (</w:t>
      </w:r>
      <w:r w:rsidR="007918B0">
        <w:t>Princeton</w:t>
      </w:r>
      <w:r w:rsidR="00972A97">
        <w:t xml:space="preserve"> University Press</w:t>
      </w:r>
      <w:r w:rsidR="007918B0">
        <w:t>, 2002).</w:t>
      </w:r>
    </w:p>
    <w:p w14:paraId="765C3D75" w14:textId="595E16D5" w:rsidR="002A4DD5" w:rsidRPr="007A2F4D" w:rsidRDefault="00581CC2" w:rsidP="000A0883">
      <w:pPr>
        <w:spacing w:line="480" w:lineRule="auto"/>
        <w:ind w:left="720" w:hanging="720"/>
        <w:rPr>
          <w:i/>
        </w:rPr>
      </w:pPr>
      <w:r>
        <w:t>(</w:t>
      </w:r>
      <w:r w:rsidR="001A4F07">
        <w:t>24</w:t>
      </w:r>
      <w:r w:rsidR="002A4DD5">
        <w:t>)</w:t>
      </w:r>
      <w:r w:rsidR="00C57379">
        <w:t xml:space="preserve"> David Robey’s </w:t>
      </w:r>
      <w:r w:rsidR="00C57379" w:rsidRPr="007A2F4D">
        <w:rPr>
          <w:i/>
        </w:rPr>
        <w:t>Sound and Structure in the</w:t>
      </w:r>
      <w:r w:rsidR="00C57379">
        <w:t xml:space="preserve"> Divine C</w:t>
      </w:r>
      <w:r w:rsidR="007918B0">
        <w:t>omedy (Oxford</w:t>
      </w:r>
      <w:r w:rsidR="00972A97">
        <w:t xml:space="preserve"> University Press</w:t>
      </w:r>
      <w:r w:rsidR="007918B0">
        <w:t>, 2000).</w:t>
      </w:r>
    </w:p>
    <w:p w14:paraId="4BAEB680" w14:textId="2B778439" w:rsidR="002A4DD5" w:rsidRPr="000F0CBE" w:rsidRDefault="00EF12AB" w:rsidP="000A0883">
      <w:pPr>
        <w:spacing w:line="480" w:lineRule="auto"/>
        <w:ind w:left="720" w:hanging="720"/>
        <w:rPr>
          <w:i/>
        </w:rPr>
      </w:pPr>
      <w:r>
        <w:t>(</w:t>
      </w:r>
      <w:r w:rsidR="00BD6BA5">
        <w:t>2</w:t>
      </w:r>
      <w:r w:rsidR="001A4F07">
        <w:t>5</w:t>
      </w:r>
      <w:r w:rsidR="002A4DD5">
        <w:t>)</w:t>
      </w:r>
      <w:r w:rsidR="00C57379">
        <w:t xml:space="preserve"> Adam Fox’s </w:t>
      </w:r>
      <w:r w:rsidR="00C57379" w:rsidRPr="000F0CBE">
        <w:rPr>
          <w:i/>
        </w:rPr>
        <w:t>Oral and Literate Culture in England 1500-1700</w:t>
      </w:r>
      <w:r w:rsidR="00C57379">
        <w:t xml:space="preserve"> (Clarendon P</w:t>
      </w:r>
      <w:r w:rsidR="006B7E3E">
        <w:t>ress</w:t>
      </w:r>
      <w:r w:rsidR="00C57379">
        <w:t>/ Oxford</w:t>
      </w:r>
      <w:r w:rsidR="00972A97">
        <w:t xml:space="preserve"> University Press</w:t>
      </w:r>
      <w:r w:rsidR="00C57379">
        <w:t>, 2000)</w:t>
      </w:r>
      <w:r w:rsidR="007918B0">
        <w:t>.</w:t>
      </w:r>
    </w:p>
    <w:p w14:paraId="089C363A" w14:textId="7638197B" w:rsidR="00581CC2" w:rsidRPr="00F64D20" w:rsidRDefault="00EF12AB" w:rsidP="000A0883">
      <w:pPr>
        <w:spacing w:line="480" w:lineRule="auto"/>
        <w:ind w:left="720" w:hanging="720"/>
      </w:pPr>
      <w:r>
        <w:t>(</w:t>
      </w:r>
      <w:r w:rsidR="00473FAD">
        <w:t>2</w:t>
      </w:r>
      <w:r w:rsidR="001A4F07">
        <w:t>6</w:t>
      </w:r>
      <w:r w:rsidR="00581CC2">
        <w:t>)</w:t>
      </w:r>
      <w:r w:rsidR="00F64D20">
        <w:t xml:space="preserve"> Bruce R. Smith’s </w:t>
      </w:r>
      <w:r w:rsidR="00F64D20">
        <w:rPr>
          <w:i/>
        </w:rPr>
        <w:t>The Acoustic World of Early Modern England: Attending to the O-Factor [of the O-Shape of the Globe Theater in 1599]</w:t>
      </w:r>
      <w:r w:rsidR="00F64D20">
        <w:t xml:space="preserve"> (</w:t>
      </w:r>
      <w:r w:rsidR="00972A97">
        <w:t xml:space="preserve">University of </w:t>
      </w:r>
      <w:r w:rsidR="00F64D20">
        <w:t>Chicago P</w:t>
      </w:r>
      <w:r w:rsidR="006B7E3E">
        <w:t>ress</w:t>
      </w:r>
      <w:r w:rsidR="00F64D20">
        <w:t>, 1999)</w:t>
      </w:r>
      <w:r w:rsidR="007918B0">
        <w:t>.</w:t>
      </w:r>
    </w:p>
    <w:p w14:paraId="6BD90DDC" w14:textId="7FED958F" w:rsidR="002A4DD5" w:rsidRPr="000F0CBE" w:rsidRDefault="00EF12AB" w:rsidP="000A0883">
      <w:pPr>
        <w:spacing w:line="480" w:lineRule="auto"/>
        <w:ind w:left="720" w:hanging="720"/>
        <w:rPr>
          <w:i/>
        </w:rPr>
      </w:pPr>
      <w:r>
        <w:t>(</w:t>
      </w:r>
      <w:r w:rsidR="00473FAD">
        <w:t>2</w:t>
      </w:r>
      <w:r w:rsidR="001A4F07">
        <w:t>7</w:t>
      </w:r>
      <w:r w:rsidR="002A4DD5">
        <w:t>)</w:t>
      </w:r>
      <w:r w:rsidR="00B41FFD">
        <w:t xml:space="preserve"> </w:t>
      </w:r>
      <w:r w:rsidR="00EB3023">
        <w:t xml:space="preserve">James I. </w:t>
      </w:r>
      <w:proofErr w:type="spellStart"/>
      <w:r w:rsidR="00B41FFD">
        <w:t>Wimsatt’s</w:t>
      </w:r>
      <w:proofErr w:type="spellEnd"/>
      <w:r w:rsidR="00B41FFD">
        <w:t xml:space="preserve"> </w:t>
      </w:r>
      <w:r w:rsidR="00B41FFD" w:rsidRPr="000F0CBE">
        <w:rPr>
          <w:i/>
        </w:rPr>
        <w:t>Hopkins’s Poetics of Speech Sound: Sprung Rhythm, Lettering, Inscape</w:t>
      </w:r>
      <w:r w:rsidR="00B41FFD">
        <w:t xml:space="preserve"> (</w:t>
      </w:r>
      <w:r w:rsidR="00972A97">
        <w:t xml:space="preserve">University of </w:t>
      </w:r>
      <w:r w:rsidR="007918B0">
        <w:t>Toronto P</w:t>
      </w:r>
      <w:r w:rsidR="006B7E3E">
        <w:t>ress</w:t>
      </w:r>
      <w:r w:rsidR="007918B0">
        <w:t>, 2006).</w:t>
      </w:r>
    </w:p>
    <w:p w14:paraId="00F59302" w14:textId="14A4D1D0" w:rsidR="002A4DD5" w:rsidRPr="000F0CBE" w:rsidRDefault="007A58BE" w:rsidP="000A0883">
      <w:pPr>
        <w:spacing w:line="480" w:lineRule="auto"/>
        <w:ind w:left="720" w:hanging="720"/>
        <w:rPr>
          <w:i/>
        </w:rPr>
      </w:pPr>
      <w:r>
        <w:t>(</w:t>
      </w:r>
      <w:r w:rsidR="00EF12AB">
        <w:t>2</w:t>
      </w:r>
      <w:r w:rsidR="001A4F07">
        <w:t>8</w:t>
      </w:r>
      <w:r w:rsidR="002A4DD5">
        <w:t>)</w:t>
      </w:r>
      <w:r w:rsidR="00B41FFD">
        <w:t xml:space="preserve"> Gerd </w:t>
      </w:r>
      <w:proofErr w:type="spellStart"/>
      <w:r w:rsidR="00B41FFD">
        <w:t>Hurm’s</w:t>
      </w:r>
      <w:proofErr w:type="spellEnd"/>
      <w:r w:rsidR="00B41FFD">
        <w:t xml:space="preserve"> </w:t>
      </w:r>
      <w:r w:rsidR="00B41FFD" w:rsidRPr="000F0CBE">
        <w:rPr>
          <w:i/>
        </w:rPr>
        <w:t>Rewriting the Vernacular Mark Twain: The Aesthetics and Politics of Orality in Samuel Clemens’s Fiction</w:t>
      </w:r>
      <w:r w:rsidR="00B41FFD">
        <w:t xml:space="preserve"> (WVT </w:t>
      </w:r>
      <w:proofErr w:type="spellStart"/>
      <w:r w:rsidR="00B41FFD">
        <w:t>Wissenschftlicher</w:t>
      </w:r>
      <w:proofErr w:type="spellEnd"/>
      <w:r w:rsidR="00B41FFD">
        <w:t xml:space="preserve"> Verlag Trier, 2003)</w:t>
      </w:r>
      <w:r w:rsidR="007918B0">
        <w:t>.</w:t>
      </w:r>
    </w:p>
    <w:p w14:paraId="68155E5C" w14:textId="5384E27F" w:rsidR="002A4DD5" w:rsidRDefault="00EF12AB" w:rsidP="000A0883">
      <w:pPr>
        <w:spacing w:line="480" w:lineRule="auto"/>
        <w:ind w:left="720" w:hanging="720"/>
      </w:pPr>
      <w:r>
        <w:lastRenderedPageBreak/>
        <w:t>(2</w:t>
      </w:r>
      <w:r w:rsidR="001A4F07">
        <w:t>9</w:t>
      </w:r>
      <w:r w:rsidR="002A4DD5">
        <w:t>)</w:t>
      </w:r>
      <w:r w:rsidR="00D26D5D">
        <w:t xml:space="preserve"> </w:t>
      </w:r>
      <w:r w:rsidR="00B41FFD">
        <w:t xml:space="preserve">Willi </w:t>
      </w:r>
      <w:proofErr w:type="spellStart"/>
      <w:r w:rsidR="00B41FFD">
        <w:t>Erzgraber’s</w:t>
      </w:r>
      <w:proofErr w:type="spellEnd"/>
      <w:r w:rsidR="00B41FFD">
        <w:t xml:space="preserve"> </w:t>
      </w:r>
      <w:r w:rsidR="00B41FFD" w:rsidRPr="0070269F">
        <w:rPr>
          <w:i/>
        </w:rPr>
        <w:t>James Joyce: Oral and Written Discourse as Mirrored in Experimental Narrative Art</w:t>
      </w:r>
      <w:r w:rsidR="00B41FFD">
        <w:t>, translated by Amy Cole (</w:t>
      </w:r>
      <w:r w:rsidR="007918B0">
        <w:t>Peter Lang, 2002).</w:t>
      </w:r>
    </w:p>
    <w:p w14:paraId="15223F85" w14:textId="7EB1B471" w:rsidR="000155A6" w:rsidRDefault="000155A6" w:rsidP="000A0883">
      <w:pPr>
        <w:spacing w:line="480" w:lineRule="auto"/>
        <w:ind w:left="720" w:hanging="720"/>
      </w:pPr>
      <w:r>
        <w:t>(</w:t>
      </w:r>
      <w:r w:rsidR="001A4F07">
        <w:t>30</w:t>
      </w:r>
      <w:r>
        <w:t xml:space="preserve">) James L. Kugel’s </w:t>
      </w:r>
      <w:r>
        <w:rPr>
          <w:i/>
          <w:iCs/>
        </w:rPr>
        <w:t>The Great S</w:t>
      </w:r>
      <w:r w:rsidR="00861FBB">
        <w:rPr>
          <w:i/>
          <w:iCs/>
        </w:rPr>
        <w:t>h</w:t>
      </w:r>
      <w:r>
        <w:rPr>
          <w:i/>
          <w:iCs/>
        </w:rPr>
        <w:t>ift: Encountering God in Biblical Times</w:t>
      </w:r>
      <w:r>
        <w:t xml:space="preserve"> (Houghton Mifflin</w:t>
      </w:r>
      <w:r w:rsidR="00560984">
        <w:t xml:space="preserve"> Harcourt</w:t>
      </w:r>
      <w:r>
        <w:t>, 2017). What Kugel refers to in his 2017 book as the great shift in biblical times involves what Ong refers to in his massively researched 1958 book as the aural</w:t>
      </w:r>
      <w:r w:rsidR="00DA0245">
        <w:t>-</w:t>
      </w:r>
      <w:r>
        <w:t>to</w:t>
      </w:r>
      <w:r w:rsidR="00DA0245">
        <w:t>-</w:t>
      </w:r>
      <w:r>
        <w:t>visual shift in Western cultural history.</w:t>
      </w:r>
    </w:p>
    <w:p w14:paraId="1A4CB7EB" w14:textId="5EE2E071" w:rsidR="00861FBB" w:rsidRPr="00861FBB" w:rsidRDefault="00861FBB" w:rsidP="000A0883">
      <w:pPr>
        <w:spacing w:line="480" w:lineRule="auto"/>
        <w:ind w:left="720" w:hanging="720"/>
      </w:pPr>
      <w:r>
        <w:t>(</w:t>
      </w:r>
      <w:r w:rsidR="001A4F07">
        <w:t>31</w:t>
      </w:r>
      <w:r>
        <w:t xml:space="preserve">) Werner H. </w:t>
      </w:r>
      <w:proofErr w:type="spellStart"/>
      <w:r>
        <w:t>Kelber’s</w:t>
      </w:r>
      <w:proofErr w:type="spellEnd"/>
      <w:r>
        <w:t xml:space="preserve"> </w:t>
      </w:r>
      <w:proofErr w:type="gramStart"/>
      <w:r>
        <w:rPr>
          <w:i/>
          <w:iCs/>
        </w:rPr>
        <w:t>The</w:t>
      </w:r>
      <w:proofErr w:type="gramEnd"/>
      <w:r>
        <w:rPr>
          <w:i/>
          <w:iCs/>
        </w:rPr>
        <w:t xml:space="preserve"> Oral and the Written Gospel: The Hermeneutics of Speaking and Writing in the Synoptic Tradition, Mark, Paul, and Q</w:t>
      </w:r>
      <w:r>
        <w:t xml:space="preserve"> (Fortress P</w:t>
      </w:r>
      <w:r w:rsidR="006B7E3E">
        <w:t>ress</w:t>
      </w:r>
      <w:r>
        <w:t>, 1983).</w:t>
      </w:r>
    </w:p>
    <w:p w14:paraId="16D1D6D4" w14:textId="40FD0D5E" w:rsidR="00D22051" w:rsidRDefault="00D22051" w:rsidP="000A0883">
      <w:pPr>
        <w:spacing w:line="480" w:lineRule="auto"/>
        <w:rPr>
          <w:u w:val="single"/>
        </w:rPr>
      </w:pPr>
    </w:p>
    <w:p w14:paraId="6283E182" w14:textId="41709ACE" w:rsidR="00696A19" w:rsidRPr="00951A4E" w:rsidRDefault="00951A4E" w:rsidP="000A0883">
      <w:pPr>
        <w:spacing w:line="480" w:lineRule="auto"/>
        <w:rPr>
          <w:u w:val="single"/>
        </w:rPr>
      </w:pPr>
      <w:r w:rsidRPr="00951A4E">
        <w:rPr>
          <w:b/>
          <w:u w:val="single"/>
        </w:rPr>
        <w:t>Theme</w:t>
      </w:r>
      <w:r w:rsidR="00D84E2E">
        <w:rPr>
          <w:b/>
          <w:u w:val="single"/>
        </w:rPr>
        <w:t xml:space="preserve"> III</w:t>
      </w:r>
      <w:r w:rsidRPr="00951A4E">
        <w:rPr>
          <w:b/>
          <w:u w:val="single"/>
        </w:rPr>
        <w:t>:</w:t>
      </w:r>
      <w:r w:rsidRPr="00951A4E">
        <w:rPr>
          <w:u w:val="single"/>
        </w:rPr>
        <w:t xml:space="preserve"> </w:t>
      </w:r>
      <w:r w:rsidR="003A32E4" w:rsidRPr="00951A4E">
        <w:rPr>
          <w:b/>
          <w:u w:val="single"/>
        </w:rPr>
        <w:t>C</w:t>
      </w:r>
      <w:r w:rsidR="00696A19" w:rsidRPr="00951A4E">
        <w:rPr>
          <w:b/>
          <w:u w:val="single"/>
        </w:rPr>
        <w:t xml:space="preserve">ommonplaces and </w:t>
      </w:r>
      <w:r w:rsidR="003A32E4" w:rsidRPr="00951A4E">
        <w:rPr>
          <w:b/>
          <w:u w:val="single"/>
        </w:rPr>
        <w:t>C</w:t>
      </w:r>
      <w:r w:rsidR="00696A19" w:rsidRPr="00951A4E">
        <w:rPr>
          <w:b/>
          <w:u w:val="single"/>
        </w:rPr>
        <w:t xml:space="preserve">omposing </w:t>
      </w:r>
      <w:r w:rsidR="003A32E4" w:rsidRPr="00951A4E">
        <w:rPr>
          <w:b/>
          <w:u w:val="single"/>
        </w:rPr>
        <w:t>P</w:t>
      </w:r>
      <w:r w:rsidR="00696A19" w:rsidRPr="00951A4E">
        <w:rPr>
          <w:b/>
          <w:u w:val="single"/>
        </w:rPr>
        <w:t>rocesses</w:t>
      </w:r>
      <w:r w:rsidR="001F40FD">
        <w:rPr>
          <w:b/>
          <w:u w:val="single"/>
        </w:rPr>
        <w:t xml:space="preserve"> (Ong, 1982, pp. 108-112)</w:t>
      </w:r>
    </w:p>
    <w:p w14:paraId="786F1968" w14:textId="77777777" w:rsidR="003A32E4" w:rsidRDefault="003A32E4" w:rsidP="000A0883">
      <w:pPr>
        <w:spacing w:line="480" w:lineRule="auto"/>
      </w:pPr>
    </w:p>
    <w:p w14:paraId="592E9B2C" w14:textId="224A171A" w:rsidR="003A32E4" w:rsidRDefault="00E04CA2" w:rsidP="000A0883">
      <w:pPr>
        <w:spacing w:line="480" w:lineRule="auto"/>
        <w:ind w:left="720" w:hanging="720"/>
      </w:pPr>
      <w:r>
        <w:t>(1</w:t>
      </w:r>
      <w:r w:rsidR="003A32E4">
        <w:t>)</w:t>
      </w:r>
      <w:r w:rsidR="00552D5A">
        <w:t xml:space="preserve"> Ong’s </w:t>
      </w:r>
      <w:r w:rsidR="00552D5A">
        <w:rPr>
          <w:i/>
        </w:rPr>
        <w:t>The Presence of the Word: Some Prolegomena for Cultural and Religious History</w:t>
      </w:r>
      <w:r w:rsidR="00552D5A">
        <w:t xml:space="preserve"> (</w:t>
      </w:r>
      <w:r w:rsidR="00DA0245">
        <w:t xml:space="preserve">Yale University Press, </w:t>
      </w:r>
      <w:r w:rsidR="00552D5A">
        <w:t>1967).</w:t>
      </w:r>
      <w:r w:rsidR="009A4AB8">
        <w:t xml:space="preserve"> Ong discusses two kinds of commonplaces: analytic commonplaces and cumulative commonplaces.</w:t>
      </w:r>
      <w:r w:rsidR="00DA0245">
        <w:t xml:space="preserve"> This is Ong’s most extensive discussion of the commonplaces and composing processes (for specific pages references to commonplaces, see the “Index” [p. 347]).</w:t>
      </w:r>
    </w:p>
    <w:p w14:paraId="6C03D281" w14:textId="20515595" w:rsidR="009A4AB8" w:rsidRPr="009A4AB8" w:rsidRDefault="00E04CA2" w:rsidP="000A0883">
      <w:pPr>
        <w:spacing w:line="480" w:lineRule="auto"/>
        <w:ind w:left="1440" w:hanging="1440"/>
      </w:pPr>
      <w:r>
        <w:t>(2</w:t>
      </w:r>
      <w:r w:rsidR="009A4AB8">
        <w:t xml:space="preserve">) Ong’s </w:t>
      </w:r>
      <w:r w:rsidR="009A4AB8">
        <w:rPr>
          <w:i/>
        </w:rPr>
        <w:t>The Barbarian Within: And Other Fugitive Essays and Studies</w:t>
      </w:r>
      <w:r w:rsidR="009A4AB8">
        <w:t xml:space="preserve"> (</w:t>
      </w:r>
      <w:r w:rsidR="00BE1DB7">
        <w:t xml:space="preserve">Macmillan, </w:t>
      </w:r>
      <w:r w:rsidR="009A4AB8">
        <w:t>1962).</w:t>
      </w:r>
    </w:p>
    <w:p w14:paraId="69AF91CD" w14:textId="23B82CC0" w:rsidR="006D34A4" w:rsidRDefault="00E04CA2" w:rsidP="000A0883">
      <w:pPr>
        <w:spacing w:line="480" w:lineRule="auto"/>
        <w:ind w:left="720" w:hanging="720"/>
      </w:pPr>
      <w:r>
        <w:t>(3</w:t>
      </w:r>
      <w:r w:rsidR="00552D5A">
        <w:t>) Ong’s</w:t>
      </w:r>
      <w:r w:rsidR="009A4AB8">
        <w:t xml:space="preserve"> </w:t>
      </w:r>
      <w:r w:rsidR="009A4AB8">
        <w:rPr>
          <w:i/>
        </w:rPr>
        <w:t>Rhetoric, Romance, and Technology: Studies in the Interaction of Expression and Culture</w:t>
      </w:r>
      <w:r w:rsidR="009A4AB8">
        <w:t xml:space="preserve"> (</w:t>
      </w:r>
      <w:r w:rsidR="00BE1DB7">
        <w:t xml:space="preserve">Cornell University Press, </w:t>
      </w:r>
      <w:r w:rsidR="009A4AB8">
        <w:t>1971).</w:t>
      </w:r>
    </w:p>
    <w:p w14:paraId="0F7957E4" w14:textId="71165431" w:rsidR="006D34A4" w:rsidRDefault="00E04CA2" w:rsidP="000A0883">
      <w:pPr>
        <w:spacing w:line="480" w:lineRule="auto"/>
        <w:ind w:left="720" w:hanging="720"/>
      </w:pPr>
      <w:r>
        <w:t>(4</w:t>
      </w:r>
      <w:r w:rsidR="00552D5A">
        <w:t>) Ong’s</w:t>
      </w:r>
      <w:r w:rsidR="009A4AB8">
        <w:t xml:space="preserve"> </w:t>
      </w:r>
      <w:r w:rsidR="009A4AB8">
        <w:rPr>
          <w:i/>
        </w:rPr>
        <w:t>Interfaces of the Word: Studies in the Evolution of Consciousness and Culture</w:t>
      </w:r>
      <w:r w:rsidR="009A4AB8">
        <w:t xml:space="preserve"> (</w:t>
      </w:r>
      <w:r w:rsidR="00BE1DB7">
        <w:t xml:space="preserve">Cornell University Press, </w:t>
      </w:r>
      <w:r w:rsidR="009A4AB8">
        <w:t>1977).</w:t>
      </w:r>
    </w:p>
    <w:p w14:paraId="3D2D8751" w14:textId="72A7A12B" w:rsidR="00747E58" w:rsidRDefault="00E04CA2" w:rsidP="000A0883">
      <w:pPr>
        <w:spacing w:line="480" w:lineRule="auto"/>
      </w:pPr>
      <w:r>
        <w:t>(5</w:t>
      </w:r>
      <w:r w:rsidR="00747E58">
        <w:t xml:space="preserve">) Ong’s </w:t>
      </w:r>
      <w:r w:rsidR="00747E58">
        <w:rPr>
          <w:i/>
        </w:rPr>
        <w:t>Orality and Literacy: The Technologizing of the Word</w:t>
      </w:r>
      <w:r w:rsidR="00747E58">
        <w:t xml:space="preserve"> (</w:t>
      </w:r>
      <w:r w:rsidR="00BE1DB7">
        <w:t xml:space="preserve">Methuen, </w:t>
      </w:r>
      <w:r w:rsidR="00747E58">
        <w:t>1982</w:t>
      </w:r>
      <w:r w:rsidR="00B514B3">
        <w:t>, pp. 108-112</w:t>
      </w:r>
      <w:r w:rsidR="00747E58">
        <w:t>).</w:t>
      </w:r>
    </w:p>
    <w:p w14:paraId="23DEEE3A" w14:textId="28B4EDA2" w:rsidR="00473FAD" w:rsidRPr="00B31AE2" w:rsidRDefault="00473FAD" w:rsidP="000A0883">
      <w:pPr>
        <w:spacing w:line="480" w:lineRule="auto"/>
        <w:ind w:left="720" w:hanging="720"/>
      </w:pPr>
      <w:r>
        <w:lastRenderedPageBreak/>
        <w:t>(6)</w:t>
      </w:r>
      <w:r w:rsidR="00B31AE2">
        <w:t xml:space="preserve"> T. W. Baldwin’s </w:t>
      </w:r>
      <w:r w:rsidR="00B31AE2">
        <w:rPr>
          <w:i/>
          <w:iCs/>
        </w:rPr>
        <w:t xml:space="preserve">William </w:t>
      </w:r>
      <w:proofErr w:type="spellStart"/>
      <w:r w:rsidR="00B31AE2">
        <w:rPr>
          <w:i/>
          <w:iCs/>
        </w:rPr>
        <w:t>Shakspere’s</w:t>
      </w:r>
      <w:proofErr w:type="spellEnd"/>
      <w:r w:rsidR="00B31AE2">
        <w:rPr>
          <w:i/>
          <w:iCs/>
        </w:rPr>
        <w:t xml:space="preserve"> Small </w:t>
      </w:r>
      <w:proofErr w:type="spellStart"/>
      <w:r w:rsidR="00B31AE2">
        <w:rPr>
          <w:i/>
          <w:iCs/>
        </w:rPr>
        <w:t>Latine</w:t>
      </w:r>
      <w:proofErr w:type="spellEnd"/>
      <w:r w:rsidR="00B31AE2">
        <w:rPr>
          <w:i/>
          <w:iCs/>
        </w:rPr>
        <w:t xml:space="preserve"> &amp; </w:t>
      </w:r>
      <w:proofErr w:type="spellStart"/>
      <w:r w:rsidR="00B31AE2">
        <w:rPr>
          <w:i/>
          <w:iCs/>
        </w:rPr>
        <w:t>Lesse</w:t>
      </w:r>
      <w:proofErr w:type="spellEnd"/>
      <w:r w:rsidR="00B31AE2">
        <w:rPr>
          <w:i/>
          <w:iCs/>
        </w:rPr>
        <w:t xml:space="preserve"> </w:t>
      </w:r>
      <w:proofErr w:type="spellStart"/>
      <w:r w:rsidR="00B31AE2">
        <w:rPr>
          <w:i/>
          <w:iCs/>
        </w:rPr>
        <w:t>Greeke</w:t>
      </w:r>
      <w:proofErr w:type="spellEnd"/>
      <w:r w:rsidR="00B31AE2">
        <w:t>, 2 vols. (University of Illinois Press, 1944). A classic.</w:t>
      </w:r>
    </w:p>
    <w:p w14:paraId="05B8BAAD" w14:textId="05DB1D9C" w:rsidR="006D34A4" w:rsidRPr="006D34A4" w:rsidRDefault="00E04CA2" w:rsidP="000A0883">
      <w:pPr>
        <w:spacing w:line="480" w:lineRule="auto"/>
        <w:ind w:left="720" w:hanging="720"/>
      </w:pPr>
      <w:r>
        <w:t>(</w:t>
      </w:r>
      <w:r w:rsidR="00473FAD">
        <w:t>7</w:t>
      </w:r>
      <w:r w:rsidR="006D34A4">
        <w:t xml:space="preserve">) E. R. </w:t>
      </w:r>
      <w:proofErr w:type="spellStart"/>
      <w:r w:rsidR="006D34A4">
        <w:t>Curtius</w:t>
      </w:r>
      <w:proofErr w:type="spellEnd"/>
      <w:r w:rsidR="006D34A4">
        <w:t xml:space="preserve">’ </w:t>
      </w:r>
      <w:r w:rsidR="006D34A4">
        <w:rPr>
          <w:i/>
        </w:rPr>
        <w:t>European Literature and the Latin Middle Ages</w:t>
      </w:r>
      <w:r w:rsidR="006D34A4">
        <w:t xml:space="preserve">, translated from the German by Willard R. Trask </w:t>
      </w:r>
      <w:r w:rsidR="0011057E">
        <w:t>(</w:t>
      </w:r>
      <w:r w:rsidR="006D34A4">
        <w:t>Pantheon Books, 1953</w:t>
      </w:r>
      <w:r w:rsidR="00CD6096">
        <w:t xml:space="preserve">; orig. German ed., </w:t>
      </w:r>
      <w:r w:rsidR="00AC7D36">
        <w:t>1948</w:t>
      </w:r>
      <w:r w:rsidR="006D34A4">
        <w:t>).</w:t>
      </w:r>
      <w:r w:rsidR="00B514B3">
        <w:t xml:space="preserve"> A classic.</w:t>
      </w:r>
    </w:p>
    <w:p w14:paraId="1ADE200B" w14:textId="0A65EFF4" w:rsidR="007918B0" w:rsidRPr="008F3B7F" w:rsidRDefault="00E04CA2" w:rsidP="000A0883">
      <w:pPr>
        <w:spacing w:line="480" w:lineRule="auto"/>
        <w:ind w:left="720" w:hanging="720"/>
      </w:pPr>
      <w:r>
        <w:t>(8</w:t>
      </w:r>
      <w:r w:rsidR="007918B0">
        <w:t>) Albert B. Lord’s</w:t>
      </w:r>
      <w:r w:rsidR="008F3B7F">
        <w:t xml:space="preserve"> </w:t>
      </w:r>
      <w:r w:rsidR="008F3B7F">
        <w:rPr>
          <w:i/>
        </w:rPr>
        <w:t>The Singer of Tales</w:t>
      </w:r>
      <w:r w:rsidR="008F3B7F">
        <w:t xml:space="preserve"> (Harvard</w:t>
      </w:r>
      <w:r w:rsidR="00972A97">
        <w:t xml:space="preserve"> University Press</w:t>
      </w:r>
      <w:r w:rsidR="008F3B7F">
        <w:t>, 1960). What Lord refers to as formulas and formulaic elements are analogous to what Ong refers to as cumulative commonplaces, and what Lord refers to as themes in narrative storytelling are analogous to what Ong refers to as analytic commonplaces.</w:t>
      </w:r>
    </w:p>
    <w:p w14:paraId="56800B61" w14:textId="06BE5385" w:rsidR="00696A19" w:rsidRPr="007F74F2" w:rsidRDefault="00E04CA2" w:rsidP="000A0883">
      <w:pPr>
        <w:spacing w:line="480" w:lineRule="auto"/>
        <w:ind w:left="720" w:hanging="720"/>
      </w:pPr>
      <w:r>
        <w:t>(9</w:t>
      </w:r>
      <w:r w:rsidR="00696A19">
        <w:t>)</w:t>
      </w:r>
      <w:r w:rsidR="007F74F2">
        <w:t xml:space="preserve"> Wolfgang </w:t>
      </w:r>
      <w:proofErr w:type="spellStart"/>
      <w:r w:rsidR="007F74F2">
        <w:t>Mieder’s</w:t>
      </w:r>
      <w:proofErr w:type="spellEnd"/>
      <w:r w:rsidR="007F74F2">
        <w:t xml:space="preserve"> </w:t>
      </w:r>
      <w:r w:rsidR="007F74F2">
        <w:rPr>
          <w:i/>
        </w:rPr>
        <w:t xml:space="preserve">International Bibliography of </w:t>
      </w:r>
      <w:proofErr w:type="spellStart"/>
      <w:r w:rsidR="007F74F2">
        <w:rPr>
          <w:i/>
        </w:rPr>
        <w:t>Paremiology</w:t>
      </w:r>
      <w:proofErr w:type="spellEnd"/>
      <w:r w:rsidR="007F74F2">
        <w:rPr>
          <w:i/>
        </w:rPr>
        <w:t xml:space="preserve"> and Phraseology</w:t>
      </w:r>
      <w:r w:rsidR="007F74F2">
        <w:t>, 2 vols. (</w:t>
      </w:r>
      <w:r w:rsidR="00552D5A">
        <w:t>Walter de Gruyter, 2009).</w:t>
      </w:r>
      <w:r w:rsidR="009A4AB8">
        <w:t xml:space="preserve"> The proverbs studied by </w:t>
      </w:r>
      <w:proofErr w:type="spellStart"/>
      <w:r w:rsidR="009A4AB8">
        <w:t>Mieder</w:t>
      </w:r>
      <w:proofErr w:type="spellEnd"/>
      <w:r w:rsidR="009A4AB8">
        <w:t xml:space="preserve"> and other proverb scholars are examples of what Ong refers to as cumulative commonplaces.</w:t>
      </w:r>
    </w:p>
    <w:p w14:paraId="094169B9" w14:textId="23AFC1D0" w:rsidR="00696A19" w:rsidRDefault="00E04CA2" w:rsidP="000A0883">
      <w:pPr>
        <w:spacing w:line="480" w:lineRule="auto"/>
        <w:ind w:left="720" w:hanging="720"/>
      </w:pPr>
      <w:r>
        <w:t>(10</w:t>
      </w:r>
      <w:r w:rsidR="00696A19">
        <w:t>)</w:t>
      </w:r>
      <w:r w:rsidR="007F74F2">
        <w:t xml:space="preserve"> Mortimer J. Adler’s </w:t>
      </w:r>
      <w:proofErr w:type="spellStart"/>
      <w:r w:rsidR="007F74F2">
        <w:rPr>
          <w:i/>
        </w:rPr>
        <w:t>Syntopicon</w:t>
      </w:r>
      <w:proofErr w:type="spellEnd"/>
      <w:r w:rsidR="007F74F2">
        <w:t xml:space="preserve">, </w:t>
      </w:r>
      <w:r w:rsidR="007F74F2">
        <w:rPr>
          <w:i/>
        </w:rPr>
        <w:t>Great Books of the Western World</w:t>
      </w:r>
      <w:r w:rsidR="007F74F2">
        <w:t>, 2nd ed., Vols. 1 and 2 (</w:t>
      </w:r>
      <w:r w:rsidR="00552D5A">
        <w:t>Encyclopedia Britannica, 1990).</w:t>
      </w:r>
      <w:r w:rsidR="009A4AB8">
        <w:t xml:space="preserve"> The so-called “topics” that Adler identifies in the </w:t>
      </w:r>
      <w:proofErr w:type="spellStart"/>
      <w:r w:rsidR="009A4AB8">
        <w:rPr>
          <w:i/>
        </w:rPr>
        <w:t>Syntopicon</w:t>
      </w:r>
      <w:proofErr w:type="spellEnd"/>
      <w:r w:rsidR="009A4AB8">
        <w:t xml:space="preserve"> are examples of what Ong refers to as analytic commonplaces.</w:t>
      </w:r>
    </w:p>
    <w:p w14:paraId="2D819DBF" w14:textId="6A2C5096" w:rsidR="002A5F97" w:rsidRPr="00581CC2" w:rsidRDefault="00E04CA2" w:rsidP="000A0883">
      <w:pPr>
        <w:spacing w:line="480" w:lineRule="auto"/>
        <w:ind w:left="1440" w:hanging="1440"/>
        <w:rPr>
          <w:i/>
        </w:rPr>
      </w:pPr>
      <w:r>
        <w:t>(11</w:t>
      </w:r>
      <w:r w:rsidR="002A5F97">
        <w:t xml:space="preserve">) John Miles Foley’s </w:t>
      </w:r>
      <w:r w:rsidR="002A5F97" w:rsidRPr="00581CC2">
        <w:rPr>
          <w:i/>
        </w:rPr>
        <w:t>Homer’s Traditional Art</w:t>
      </w:r>
      <w:r w:rsidR="002A5F97">
        <w:t xml:space="preserve"> (Pennsylvania State</w:t>
      </w:r>
      <w:r w:rsidR="00972A97">
        <w:t xml:space="preserve"> University Press</w:t>
      </w:r>
      <w:r w:rsidR="002A5F97">
        <w:t>, 1999)</w:t>
      </w:r>
      <w:r w:rsidR="00552D5A">
        <w:t>.</w:t>
      </w:r>
      <w:r w:rsidR="008B0842">
        <w:t xml:space="preserve"> Balanced and judicious, in my estimate.</w:t>
      </w:r>
    </w:p>
    <w:p w14:paraId="608D836C" w14:textId="37582D89" w:rsidR="00696A19" w:rsidRDefault="00E04CA2" w:rsidP="000A0883">
      <w:pPr>
        <w:spacing w:line="480" w:lineRule="auto"/>
        <w:ind w:left="720" w:hanging="720"/>
      </w:pPr>
      <w:r>
        <w:t>(12</w:t>
      </w:r>
      <w:r w:rsidR="00696A19">
        <w:t>)</w:t>
      </w:r>
      <w:r w:rsidR="007F74F2">
        <w:t xml:space="preserve"> Dennis R. MacDonald’s </w:t>
      </w:r>
      <w:r w:rsidR="007F74F2">
        <w:rPr>
          <w:i/>
        </w:rPr>
        <w:t>The Homeric Epics and the Gospel of Mark</w:t>
      </w:r>
      <w:r w:rsidR="007F74F2">
        <w:t xml:space="preserve"> (</w:t>
      </w:r>
      <w:r w:rsidR="00552D5A">
        <w:t>Yale</w:t>
      </w:r>
      <w:r w:rsidR="00972A97">
        <w:t xml:space="preserve"> University Press</w:t>
      </w:r>
      <w:r w:rsidR="00552D5A">
        <w:t>, 2000).</w:t>
      </w:r>
    </w:p>
    <w:p w14:paraId="2FF7BAAD" w14:textId="286157C7" w:rsidR="00F42B70" w:rsidRPr="00F42B70" w:rsidRDefault="00E04CA2" w:rsidP="000A0883">
      <w:pPr>
        <w:spacing w:line="480" w:lineRule="auto"/>
        <w:ind w:left="720" w:hanging="720"/>
      </w:pPr>
      <w:r>
        <w:t>(13</w:t>
      </w:r>
      <w:r w:rsidR="00F42B70">
        <w:t xml:space="preserve">) MacDonald’s </w:t>
      </w:r>
      <w:r w:rsidR="00F42B70">
        <w:rPr>
          <w:i/>
        </w:rPr>
        <w:t xml:space="preserve">Does the New Testament Imitate </w:t>
      </w:r>
      <w:proofErr w:type="gramStart"/>
      <w:r w:rsidR="00F42B70">
        <w:rPr>
          <w:i/>
        </w:rPr>
        <w:t>Homer?:</w:t>
      </w:r>
      <w:proofErr w:type="gramEnd"/>
      <w:r w:rsidR="00F42B70">
        <w:rPr>
          <w:i/>
        </w:rPr>
        <w:t xml:space="preserve"> Four Cases from Acts of the Apostles</w:t>
      </w:r>
      <w:r w:rsidR="00F42B70">
        <w:t xml:space="preserve"> (Yale</w:t>
      </w:r>
      <w:r w:rsidR="00972A97">
        <w:t xml:space="preserve"> University Press</w:t>
      </w:r>
      <w:r w:rsidR="00F42B70">
        <w:t>, 2003)</w:t>
      </w:r>
      <w:r w:rsidR="00552D5A">
        <w:t>.</w:t>
      </w:r>
    </w:p>
    <w:p w14:paraId="4DC13CAA" w14:textId="71B17153" w:rsidR="00696A19" w:rsidRDefault="00696A19" w:rsidP="000A0883">
      <w:pPr>
        <w:spacing w:line="480" w:lineRule="auto"/>
        <w:ind w:left="720" w:hanging="720"/>
      </w:pPr>
      <w:r>
        <w:t>(</w:t>
      </w:r>
      <w:r w:rsidR="00E04CA2">
        <w:t>14</w:t>
      </w:r>
      <w:r>
        <w:t>)</w:t>
      </w:r>
      <w:r w:rsidR="0017683F">
        <w:t xml:space="preserve"> MacDonald’s </w:t>
      </w:r>
      <w:r w:rsidR="0017683F">
        <w:rPr>
          <w:i/>
        </w:rPr>
        <w:t>The Gospels and Homer: Imitations of Greek Epic in Mark and Luke-Acts</w:t>
      </w:r>
      <w:r w:rsidR="0017683F">
        <w:t xml:space="preserve"> (</w:t>
      </w:r>
      <w:r w:rsidR="00552D5A">
        <w:t>Rowman &amp; Littlefield, 2015).</w:t>
      </w:r>
    </w:p>
    <w:p w14:paraId="094119FB" w14:textId="6AC0E5B6" w:rsidR="00F42B70" w:rsidRPr="00F42B70" w:rsidRDefault="00E04CA2" w:rsidP="000A0883">
      <w:pPr>
        <w:spacing w:line="480" w:lineRule="auto"/>
        <w:ind w:left="720" w:hanging="720"/>
      </w:pPr>
      <w:r>
        <w:lastRenderedPageBreak/>
        <w:t>(15</w:t>
      </w:r>
      <w:r w:rsidR="00F42B70">
        <w:t xml:space="preserve">) MacDonald’s </w:t>
      </w:r>
      <w:r w:rsidR="00F42B70">
        <w:rPr>
          <w:i/>
        </w:rPr>
        <w:t>Luke and Vergil: Imitations of Classical Greek Literature</w:t>
      </w:r>
      <w:r w:rsidR="00F42B70">
        <w:t xml:space="preserve"> (</w:t>
      </w:r>
      <w:r w:rsidR="00552D5A">
        <w:t>Rowman &amp; Littlefield, 2015).</w:t>
      </w:r>
    </w:p>
    <w:p w14:paraId="218E6BF5" w14:textId="3C4697B4" w:rsidR="00F42B70" w:rsidRDefault="00E04CA2" w:rsidP="000A0883">
      <w:pPr>
        <w:spacing w:line="480" w:lineRule="auto"/>
        <w:ind w:left="720" w:hanging="720"/>
      </w:pPr>
      <w:r>
        <w:t>(16</w:t>
      </w:r>
      <w:r w:rsidR="00F42B70">
        <w:t xml:space="preserve">) MacDonald’s </w:t>
      </w:r>
      <w:r w:rsidR="00F42B70">
        <w:rPr>
          <w:i/>
        </w:rPr>
        <w:t>The Dionysian Gospel: The Fourth Gospel and Euripides</w:t>
      </w:r>
      <w:r w:rsidR="00F42B70">
        <w:t xml:space="preserve"> (</w:t>
      </w:r>
      <w:r w:rsidR="00EE27C5">
        <w:t>Fortress P</w:t>
      </w:r>
      <w:r w:rsidR="00180434">
        <w:t>ress</w:t>
      </w:r>
      <w:r w:rsidR="00EE27C5">
        <w:t>, 2017)</w:t>
      </w:r>
      <w:r w:rsidR="00552D5A">
        <w:t>.</w:t>
      </w:r>
    </w:p>
    <w:p w14:paraId="6FD04B33" w14:textId="315C403F" w:rsidR="005762EF" w:rsidRPr="005762EF" w:rsidRDefault="00E04CA2" w:rsidP="000A0883">
      <w:pPr>
        <w:spacing w:line="480" w:lineRule="auto"/>
        <w:ind w:left="720" w:hanging="720"/>
      </w:pPr>
      <w:r>
        <w:t>(17</w:t>
      </w:r>
      <w:r w:rsidR="005762EF">
        <w:t xml:space="preserve">) Keith D. Miller’s </w:t>
      </w:r>
      <w:r w:rsidR="005762EF">
        <w:rPr>
          <w:i/>
        </w:rPr>
        <w:t>Voice of Deliverance: The Language of Martin Luther King, Jr. and Its Sources</w:t>
      </w:r>
      <w:r w:rsidR="00552D5A">
        <w:t xml:space="preserve"> </w:t>
      </w:r>
      <w:r w:rsidR="0011057E">
        <w:t>(</w:t>
      </w:r>
      <w:r w:rsidR="00552D5A">
        <w:t>Free P</w:t>
      </w:r>
      <w:r w:rsidR="00180434">
        <w:t>ress</w:t>
      </w:r>
      <w:r w:rsidR="00552D5A">
        <w:t>, 1992).</w:t>
      </w:r>
    </w:p>
    <w:p w14:paraId="24E1E262" w14:textId="54436A5E" w:rsidR="005762EF" w:rsidRDefault="00E04CA2" w:rsidP="000A0883">
      <w:pPr>
        <w:spacing w:line="480" w:lineRule="auto"/>
        <w:ind w:left="720" w:hanging="720"/>
      </w:pPr>
      <w:r>
        <w:t>(18</w:t>
      </w:r>
      <w:r w:rsidR="005762EF">
        <w:t xml:space="preserve">) Miller’s </w:t>
      </w:r>
      <w:r w:rsidR="005762EF">
        <w:rPr>
          <w:i/>
        </w:rPr>
        <w:t>Martin Luther King’s Biblical Epic: His Final, Great Speech</w:t>
      </w:r>
      <w:r w:rsidR="005762EF">
        <w:t xml:space="preserve"> (</w:t>
      </w:r>
      <w:r w:rsidR="00972A97">
        <w:t>University Press</w:t>
      </w:r>
      <w:r w:rsidR="005762EF">
        <w:t xml:space="preserve"> of Mississippi, 2012)</w:t>
      </w:r>
      <w:r w:rsidR="00552D5A">
        <w:t>.</w:t>
      </w:r>
    </w:p>
    <w:p w14:paraId="08B69103" w14:textId="37554E24" w:rsidR="008A5D4F" w:rsidRPr="008A5D4F" w:rsidRDefault="008A5D4F" w:rsidP="000A0883">
      <w:pPr>
        <w:spacing w:line="480" w:lineRule="auto"/>
        <w:ind w:left="720" w:hanging="720"/>
      </w:pPr>
      <w:r>
        <w:t xml:space="preserve">(19) </w:t>
      </w:r>
      <w:proofErr w:type="spellStart"/>
      <w:r>
        <w:t>Mieder’s</w:t>
      </w:r>
      <w:proofErr w:type="spellEnd"/>
      <w:r>
        <w:t xml:space="preserve"> </w:t>
      </w:r>
      <w:r>
        <w:rPr>
          <w:i/>
        </w:rPr>
        <w:t>“Making a Way Out of No Way”: Martin Luther King’s Sermonic Proverbial Rhetoric</w:t>
      </w:r>
      <w:r>
        <w:t xml:space="preserve"> </w:t>
      </w:r>
      <w:r w:rsidR="0011057E">
        <w:t>(</w:t>
      </w:r>
      <w:r>
        <w:t xml:space="preserve">Peter Lang, 2010). </w:t>
      </w:r>
    </w:p>
    <w:p w14:paraId="5EE5D789" w14:textId="4E96B8C2" w:rsidR="00EE27C5" w:rsidRDefault="00EE27C5" w:rsidP="000A0883">
      <w:pPr>
        <w:spacing w:line="480" w:lineRule="auto"/>
        <w:ind w:left="720" w:hanging="720"/>
      </w:pPr>
      <w:r>
        <w:t>(</w:t>
      </w:r>
      <w:r w:rsidR="008A5D4F">
        <w:t>20</w:t>
      </w:r>
      <w:r>
        <w:t xml:space="preserve">) Harvey Cox’s </w:t>
      </w:r>
      <w:r>
        <w:rPr>
          <w:i/>
        </w:rPr>
        <w:t>The Market as God</w:t>
      </w:r>
      <w:r>
        <w:t xml:space="preserve"> (Harvard</w:t>
      </w:r>
      <w:r w:rsidR="00972A97">
        <w:t xml:space="preserve"> University Press</w:t>
      </w:r>
      <w:r>
        <w:t>, 2016).</w:t>
      </w:r>
    </w:p>
    <w:p w14:paraId="174891BD" w14:textId="584A6FED" w:rsidR="00C10847" w:rsidRPr="00C26B23" w:rsidRDefault="00C10847" w:rsidP="000A0883">
      <w:pPr>
        <w:spacing w:line="480" w:lineRule="auto"/>
        <w:ind w:left="720" w:hanging="720"/>
      </w:pPr>
      <w:r>
        <w:t xml:space="preserve">(21) Heinrich </w:t>
      </w:r>
      <w:proofErr w:type="spellStart"/>
      <w:r>
        <w:t>Plett’s</w:t>
      </w:r>
      <w:proofErr w:type="spellEnd"/>
      <w:r>
        <w:t xml:space="preserve"> 1999 article “Rhetoric and Intertextuality” in the journal </w:t>
      </w:r>
      <w:proofErr w:type="spellStart"/>
      <w:r>
        <w:rPr>
          <w:i/>
        </w:rPr>
        <w:t>Rhetorica</w:t>
      </w:r>
      <w:proofErr w:type="spellEnd"/>
      <w:r>
        <w:rPr>
          <w:i/>
        </w:rPr>
        <w:t>: A Journal of the History of Rhetoric</w:t>
      </w:r>
      <w:r>
        <w:rPr>
          <w:iCs/>
        </w:rPr>
        <w:t>,</w:t>
      </w:r>
      <w:r>
        <w:t xml:space="preserve"> 17, pp. 313-329. The author argues, correctly in my estimate, that the use of what are known in rhetorical studies as commonplaces produces what is known in literary studies today as intertextuality.</w:t>
      </w:r>
    </w:p>
    <w:p w14:paraId="073AC119" w14:textId="77777777" w:rsidR="00473FAD" w:rsidRDefault="00473FAD" w:rsidP="000A0883">
      <w:pPr>
        <w:spacing w:line="480" w:lineRule="auto"/>
        <w:ind w:left="720" w:hanging="720"/>
      </w:pPr>
    </w:p>
    <w:p w14:paraId="2EBBBDE7" w14:textId="532E5E5E" w:rsidR="003A32E4" w:rsidRPr="00951A4E" w:rsidRDefault="003A32E4" w:rsidP="000A0883">
      <w:pPr>
        <w:spacing w:line="480" w:lineRule="auto"/>
        <w:rPr>
          <w:u w:val="single"/>
        </w:rPr>
      </w:pPr>
      <w:r w:rsidRPr="00951A4E">
        <w:rPr>
          <w:b/>
          <w:u w:val="single"/>
        </w:rPr>
        <w:t>Theme</w:t>
      </w:r>
      <w:r w:rsidR="00D84E2E">
        <w:rPr>
          <w:b/>
          <w:u w:val="single"/>
        </w:rPr>
        <w:t xml:space="preserve"> IV</w:t>
      </w:r>
      <w:r w:rsidRPr="00951A4E">
        <w:rPr>
          <w:b/>
          <w:u w:val="single"/>
        </w:rPr>
        <w:t>: Agonistic Structures</w:t>
      </w:r>
      <w:r w:rsidR="001F40FD">
        <w:rPr>
          <w:b/>
          <w:u w:val="single"/>
        </w:rPr>
        <w:t xml:space="preserve"> (Ong, 1982, pp. 43-45 and 69-71)</w:t>
      </w:r>
    </w:p>
    <w:p w14:paraId="73710FAC" w14:textId="77777777" w:rsidR="003A32E4" w:rsidRDefault="003A32E4" w:rsidP="000A0883">
      <w:pPr>
        <w:spacing w:line="480" w:lineRule="auto"/>
      </w:pPr>
    </w:p>
    <w:p w14:paraId="537321A2" w14:textId="15E0BFE0" w:rsidR="00A87114" w:rsidRDefault="00956B9B" w:rsidP="000A0883">
      <w:pPr>
        <w:spacing w:line="480" w:lineRule="auto"/>
        <w:ind w:left="720" w:hanging="720"/>
      </w:pPr>
      <w:r>
        <w:t>(1</w:t>
      </w:r>
      <w:r w:rsidR="00A87114">
        <w:t xml:space="preserve">) Ong’s </w:t>
      </w:r>
      <w:r w:rsidR="00A87114">
        <w:rPr>
          <w:i/>
        </w:rPr>
        <w:t>Fighting for Life: Contest, Sexuality, and Consciousness</w:t>
      </w:r>
      <w:r w:rsidR="00A87114">
        <w:t xml:space="preserve"> (</w:t>
      </w:r>
      <w:r w:rsidR="00180434">
        <w:t xml:space="preserve">Cornell University Press, </w:t>
      </w:r>
      <w:r w:rsidR="00A87114">
        <w:t>1981).</w:t>
      </w:r>
      <w:r w:rsidR="00180434">
        <w:t xml:space="preserve"> This is Ong’s most focused discussion of agonistic structures.</w:t>
      </w:r>
    </w:p>
    <w:p w14:paraId="02DE3047" w14:textId="2211ADBA" w:rsidR="00A87114" w:rsidRPr="001F278D" w:rsidRDefault="00DE0805" w:rsidP="000A0883">
      <w:pPr>
        <w:spacing w:line="480" w:lineRule="auto"/>
        <w:ind w:left="720" w:hanging="720"/>
      </w:pPr>
      <w:r>
        <w:t>(2</w:t>
      </w:r>
      <w:r w:rsidR="00A87114">
        <w:t xml:space="preserve">) Ong’s 1982 essay “The Agonistic Base of Scientifically Abstract Thought: Issues in </w:t>
      </w:r>
      <w:r w:rsidR="00A87114">
        <w:rPr>
          <w:i/>
        </w:rPr>
        <w:t>Fighting for Life: Contest, Sexuality, and Consciousness</w:t>
      </w:r>
      <w:r w:rsidR="00A87114">
        <w:t>”</w:t>
      </w:r>
      <w:r w:rsidR="001F278D">
        <w:t xml:space="preserve"> as</w:t>
      </w:r>
      <w:r w:rsidR="00A87114">
        <w:t xml:space="preserve"> reprinted in </w:t>
      </w:r>
      <w:r w:rsidR="00A87114">
        <w:rPr>
          <w:i/>
        </w:rPr>
        <w:t>An Ong Reader: Challenges for Further Inquiry</w:t>
      </w:r>
      <w:r w:rsidR="00A87114">
        <w:t xml:space="preserve">, edited by </w:t>
      </w:r>
      <w:r w:rsidR="00180434">
        <w:t>Thomas J. Farrell</w:t>
      </w:r>
      <w:r w:rsidR="00A87114">
        <w:t xml:space="preserve"> and Paul A. Soukup (</w:t>
      </w:r>
      <w:r w:rsidR="00ED0057">
        <w:t>Hampton Press</w:t>
      </w:r>
      <w:r w:rsidR="00A87114">
        <w:t>, 2002, pp. 479-</w:t>
      </w:r>
      <w:r w:rsidR="00180434">
        <w:t>4</w:t>
      </w:r>
      <w:r w:rsidR="00A87114">
        <w:t>95).</w:t>
      </w:r>
      <w:r w:rsidR="001F278D">
        <w:t xml:space="preserve"> </w:t>
      </w:r>
      <w:r w:rsidR="00CE728E">
        <w:t>Two</w:t>
      </w:r>
      <w:r w:rsidR="001F278D">
        <w:t xml:space="preserve"> </w:t>
      </w:r>
      <w:r w:rsidR="001F278D">
        <w:lastRenderedPageBreak/>
        <w:t xml:space="preserve">other selections reprinted in </w:t>
      </w:r>
      <w:r w:rsidR="001F278D">
        <w:rPr>
          <w:i/>
        </w:rPr>
        <w:t>An Ong Reader</w:t>
      </w:r>
      <w:r w:rsidR="001F278D">
        <w:t xml:space="preserve"> are related to his recurring theme of agonistic structures</w:t>
      </w:r>
      <w:r w:rsidR="00CE728E">
        <w:t xml:space="preserve"> (pp. 277-300 [1962], and 345-</w:t>
      </w:r>
      <w:r w:rsidR="00180434">
        <w:t>3</w:t>
      </w:r>
      <w:r w:rsidR="00CE728E">
        <w:t>48 [1967])</w:t>
      </w:r>
      <w:r w:rsidR="001F278D">
        <w:t>.</w:t>
      </w:r>
    </w:p>
    <w:p w14:paraId="20EEC0E7" w14:textId="4A14B8D3" w:rsidR="0055062F" w:rsidRPr="0055062F" w:rsidRDefault="00DE0805" w:rsidP="000A0883">
      <w:pPr>
        <w:spacing w:line="480" w:lineRule="auto"/>
        <w:ind w:left="720" w:hanging="720"/>
      </w:pPr>
      <w:r>
        <w:t>(3</w:t>
      </w:r>
      <w:r w:rsidR="0055062F">
        <w:t>) Ong’s</w:t>
      </w:r>
      <w:r w:rsidR="00C47B14">
        <w:t xml:space="preserve"> other</w:t>
      </w:r>
      <w:r w:rsidR="0055062F">
        <w:t xml:space="preserve"> 1982 essay reprinted as “Introduction to Milton’s </w:t>
      </w:r>
      <w:r w:rsidR="0055062F">
        <w:rPr>
          <w:i/>
        </w:rPr>
        <w:t>Logic</w:t>
      </w:r>
      <w:r w:rsidR="0055062F">
        <w:t xml:space="preserve">” in volume four of Ong’s </w:t>
      </w:r>
      <w:r w:rsidR="0055062F">
        <w:rPr>
          <w:i/>
        </w:rPr>
        <w:t>Faith and Context</w:t>
      </w:r>
      <w:r w:rsidR="00A75B3C">
        <w:t xml:space="preserve">, edited by </w:t>
      </w:r>
      <w:r w:rsidR="00180434">
        <w:t>Thomas J. Farrell</w:t>
      </w:r>
      <w:r w:rsidR="00A75B3C">
        <w:t xml:space="preserve"> and Paul A. Soukup (</w:t>
      </w:r>
      <w:r w:rsidR="00BE37E4">
        <w:t>Scholars Press</w:t>
      </w:r>
      <w:r w:rsidR="00A75B3C">
        <w:t>, 1999, pp. 111-</w:t>
      </w:r>
      <w:r w:rsidR="00180434">
        <w:t>1</w:t>
      </w:r>
      <w:r w:rsidR="00A75B3C">
        <w:t>42).</w:t>
      </w:r>
    </w:p>
    <w:p w14:paraId="026B1EBD" w14:textId="2CE8CC90" w:rsidR="003A32E4" w:rsidRDefault="00DE0805" w:rsidP="000A0883">
      <w:pPr>
        <w:spacing w:line="480" w:lineRule="auto"/>
        <w:ind w:left="720" w:hanging="720"/>
      </w:pPr>
      <w:r>
        <w:t>(4</w:t>
      </w:r>
      <w:r w:rsidR="003A32E4">
        <w:t>)</w:t>
      </w:r>
      <w:r w:rsidR="00552D5A">
        <w:t xml:space="preserve"> Ong’s </w:t>
      </w:r>
      <w:r w:rsidR="00552D5A">
        <w:rPr>
          <w:i/>
        </w:rPr>
        <w:t>The Presence of the Word: Some Prolegomena for Cultural and Religious History</w:t>
      </w:r>
      <w:r w:rsidR="00552D5A">
        <w:t xml:space="preserve"> (</w:t>
      </w:r>
      <w:r w:rsidR="00180434">
        <w:t xml:space="preserve">Yale University Press, </w:t>
      </w:r>
      <w:r w:rsidR="00552D5A">
        <w:t>1967).</w:t>
      </w:r>
    </w:p>
    <w:p w14:paraId="6286E158" w14:textId="601BE24B" w:rsidR="00C44027" w:rsidRPr="00A75B3C" w:rsidRDefault="00DE0805" w:rsidP="000A0883">
      <w:pPr>
        <w:spacing w:line="480" w:lineRule="auto"/>
        <w:ind w:left="720" w:hanging="720"/>
      </w:pPr>
      <w:r>
        <w:t>(5</w:t>
      </w:r>
      <w:r w:rsidR="00C44027">
        <w:t xml:space="preserve">) Ong’s </w:t>
      </w:r>
      <w:r w:rsidR="00C44027">
        <w:rPr>
          <w:i/>
        </w:rPr>
        <w:t>Rhetoric, Romance, and Technology: Studies in the Interaction of Expression and Culture</w:t>
      </w:r>
      <w:r w:rsidR="00C44027">
        <w:t xml:space="preserve"> (</w:t>
      </w:r>
      <w:r w:rsidR="00180434">
        <w:t xml:space="preserve">Cornell University Press, </w:t>
      </w:r>
      <w:r w:rsidR="00C44027">
        <w:t>1971).</w:t>
      </w:r>
    </w:p>
    <w:p w14:paraId="6B7FDF02" w14:textId="05EF234D" w:rsidR="00747E58" w:rsidRPr="00747E58" w:rsidRDefault="00DE0805" w:rsidP="000A0883">
      <w:pPr>
        <w:spacing w:line="480" w:lineRule="auto"/>
      </w:pPr>
      <w:r>
        <w:t>(6</w:t>
      </w:r>
      <w:r w:rsidR="00747E58">
        <w:t xml:space="preserve">) Ong’s </w:t>
      </w:r>
      <w:r w:rsidR="00747E58">
        <w:rPr>
          <w:i/>
        </w:rPr>
        <w:t>Orality and Literacy: The Technologizing of the Word</w:t>
      </w:r>
      <w:r w:rsidR="00747E58">
        <w:t xml:space="preserve"> (</w:t>
      </w:r>
      <w:r w:rsidR="00180434">
        <w:t xml:space="preserve">Methuen, </w:t>
      </w:r>
      <w:r w:rsidR="00747E58">
        <w:t>1982</w:t>
      </w:r>
      <w:r w:rsidR="00180434">
        <w:t>, pp. 43-45 and 69-71</w:t>
      </w:r>
      <w:r w:rsidR="00747E58">
        <w:t>).</w:t>
      </w:r>
    </w:p>
    <w:p w14:paraId="239B521B" w14:textId="1B31E1BA" w:rsidR="007918B0" w:rsidRPr="00A51C3D" w:rsidRDefault="00DE0805" w:rsidP="000A0883">
      <w:pPr>
        <w:spacing w:line="480" w:lineRule="auto"/>
        <w:ind w:left="720" w:hanging="720"/>
      </w:pPr>
      <w:r>
        <w:t>(7</w:t>
      </w:r>
      <w:r w:rsidR="007918B0">
        <w:t>) Johan Huizinga’s</w:t>
      </w:r>
      <w:r w:rsidR="00A51C3D">
        <w:t xml:space="preserve"> </w:t>
      </w:r>
      <w:r w:rsidR="00A51C3D">
        <w:rPr>
          <w:i/>
        </w:rPr>
        <w:t xml:space="preserve">Homo </w:t>
      </w:r>
      <w:proofErr w:type="spellStart"/>
      <w:r w:rsidR="00A51C3D">
        <w:rPr>
          <w:i/>
        </w:rPr>
        <w:t>Ludens</w:t>
      </w:r>
      <w:proofErr w:type="spellEnd"/>
      <w:r w:rsidR="00A51C3D">
        <w:rPr>
          <w:i/>
        </w:rPr>
        <w:t>: A Study of the Play-Element in Culture</w:t>
      </w:r>
      <w:r w:rsidR="00A51C3D">
        <w:t>, translated from the 1944 German edition, but without identifying the translator (Routledge, 1949).</w:t>
      </w:r>
      <w:r w:rsidR="00180434">
        <w:t xml:space="preserve"> A classic.</w:t>
      </w:r>
    </w:p>
    <w:p w14:paraId="18A98B63" w14:textId="4601DC9E" w:rsidR="007918B0" w:rsidRPr="00604A3B" w:rsidRDefault="00DE0805" w:rsidP="000A0883">
      <w:pPr>
        <w:spacing w:line="480" w:lineRule="auto"/>
        <w:ind w:left="720" w:hanging="720"/>
      </w:pPr>
      <w:r>
        <w:t>(8</w:t>
      </w:r>
      <w:r w:rsidR="00D66CC0">
        <w:t>) Erich Neumann’s</w:t>
      </w:r>
      <w:r w:rsidR="00604A3B">
        <w:t xml:space="preserve"> </w:t>
      </w:r>
      <w:r w:rsidR="00604A3B">
        <w:rPr>
          <w:i/>
        </w:rPr>
        <w:t>The Origins and History of Consciousness</w:t>
      </w:r>
      <w:r w:rsidR="00604A3B">
        <w:t xml:space="preserve">, translated from the German by R. F. C. Hull </w:t>
      </w:r>
      <w:r w:rsidR="0011057E">
        <w:t>(</w:t>
      </w:r>
      <w:r w:rsidR="00604A3B">
        <w:t>Pantheon Books, 1954).</w:t>
      </w:r>
    </w:p>
    <w:p w14:paraId="3B550392" w14:textId="00102F1D" w:rsidR="00D66CC0" w:rsidRDefault="00DE0805" w:rsidP="000A0883">
      <w:pPr>
        <w:spacing w:line="480" w:lineRule="auto"/>
        <w:ind w:left="720" w:hanging="720"/>
      </w:pPr>
      <w:r>
        <w:t>(9</w:t>
      </w:r>
      <w:r w:rsidR="00D66CC0">
        <w:t>) G. E. R. Lloyd’s</w:t>
      </w:r>
      <w:r w:rsidR="00604A3B">
        <w:t xml:space="preserve"> </w:t>
      </w:r>
      <w:r w:rsidR="00604A3B">
        <w:rPr>
          <w:i/>
        </w:rPr>
        <w:t xml:space="preserve">Polarity and Analogy: Two Types of </w:t>
      </w:r>
      <w:proofErr w:type="gramStart"/>
      <w:r w:rsidR="00604A3B">
        <w:rPr>
          <w:i/>
        </w:rPr>
        <w:t>Argumentation</w:t>
      </w:r>
      <w:proofErr w:type="gramEnd"/>
      <w:r w:rsidR="00604A3B">
        <w:rPr>
          <w:i/>
        </w:rPr>
        <w:t xml:space="preserve"> in Early Greek Thought</w:t>
      </w:r>
      <w:r w:rsidR="00604A3B">
        <w:t xml:space="preserve"> (Cambridge</w:t>
      </w:r>
      <w:r w:rsidR="00972A97">
        <w:t xml:space="preserve"> University Press</w:t>
      </w:r>
      <w:r w:rsidR="00604A3B">
        <w:t>, 1966).</w:t>
      </w:r>
    </w:p>
    <w:p w14:paraId="07EC1712" w14:textId="6578A27A" w:rsidR="0082466A" w:rsidRPr="0082466A" w:rsidRDefault="0082466A" w:rsidP="000A0883">
      <w:pPr>
        <w:spacing w:line="480" w:lineRule="auto"/>
        <w:ind w:left="720" w:hanging="720"/>
      </w:pPr>
      <w:r>
        <w:t xml:space="preserve">(10) Thomas J. Farrell’s 1979 article “The Female and Male Modes of Rhetoric” in the NCTE journal </w:t>
      </w:r>
      <w:r>
        <w:rPr>
          <w:i/>
          <w:iCs/>
        </w:rPr>
        <w:t>College English</w:t>
      </w:r>
      <w:r>
        <w:t>, 40, pp. 909-921.</w:t>
      </w:r>
    </w:p>
    <w:p w14:paraId="4776D121" w14:textId="3134DABC" w:rsidR="00D66CC0" w:rsidRDefault="00DE0805" w:rsidP="000A0883">
      <w:pPr>
        <w:spacing w:line="480" w:lineRule="auto"/>
        <w:ind w:left="720" w:hanging="720"/>
      </w:pPr>
      <w:r>
        <w:t>(1</w:t>
      </w:r>
      <w:r w:rsidR="0082466A">
        <w:t>1</w:t>
      </w:r>
      <w:r w:rsidR="00D66CC0">
        <w:t>) Ward Parks’</w:t>
      </w:r>
      <w:r w:rsidR="00E73CFB">
        <w:t xml:space="preserve"> </w:t>
      </w:r>
      <w:r w:rsidR="00F92DE0">
        <w:rPr>
          <w:i/>
        </w:rPr>
        <w:t>Verbal Dueling in Heroic Narrative: The Homeric and Old English Tradition</w:t>
      </w:r>
      <w:r w:rsidR="00F92DE0">
        <w:t xml:space="preserve"> (Princeton</w:t>
      </w:r>
      <w:r w:rsidR="00972A97">
        <w:t xml:space="preserve"> University Press</w:t>
      </w:r>
      <w:r w:rsidR="00F92DE0">
        <w:t>, 1990)</w:t>
      </w:r>
      <w:r w:rsidR="00244460">
        <w:t>.</w:t>
      </w:r>
    </w:p>
    <w:p w14:paraId="3441B7B4" w14:textId="5CBEAEDA" w:rsidR="00244460" w:rsidRDefault="00DE0805" w:rsidP="000A0883">
      <w:pPr>
        <w:spacing w:line="480" w:lineRule="auto"/>
        <w:ind w:left="720" w:hanging="720"/>
      </w:pPr>
      <w:r>
        <w:t>(1</w:t>
      </w:r>
      <w:r w:rsidR="0082466A">
        <w:t>2</w:t>
      </w:r>
      <w:r w:rsidR="00244460">
        <w:t xml:space="preserve">) </w:t>
      </w:r>
      <w:r w:rsidR="00A25F1F">
        <w:t xml:space="preserve">Douglas L. Cairns’ </w:t>
      </w:r>
      <w:proofErr w:type="spellStart"/>
      <w:r w:rsidR="00A25F1F">
        <w:t>Aidos</w:t>
      </w:r>
      <w:proofErr w:type="spellEnd"/>
      <w:r w:rsidR="00A25F1F">
        <w:rPr>
          <w:i/>
        </w:rPr>
        <w:t xml:space="preserve">: The Psychology and Ethic of </w:t>
      </w:r>
      <w:proofErr w:type="spellStart"/>
      <w:r w:rsidR="00A25F1F">
        <w:rPr>
          <w:i/>
        </w:rPr>
        <w:t>Honour</w:t>
      </w:r>
      <w:proofErr w:type="spellEnd"/>
      <w:r w:rsidR="00A25F1F">
        <w:rPr>
          <w:i/>
        </w:rPr>
        <w:t xml:space="preserve"> and Shame in Ancient Greek Literature</w:t>
      </w:r>
      <w:r w:rsidR="00A25F1F">
        <w:t xml:space="preserve"> (Clarendon P</w:t>
      </w:r>
      <w:r w:rsidR="00180434">
        <w:t>ress</w:t>
      </w:r>
      <w:r w:rsidR="00A25F1F">
        <w:t>, 1993).</w:t>
      </w:r>
    </w:p>
    <w:p w14:paraId="583150A0" w14:textId="28930226" w:rsidR="00CD3E1F" w:rsidRPr="00CD3E1F" w:rsidRDefault="00DE0805" w:rsidP="000A0883">
      <w:pPr>
        <w:spacing w:line="480" w:lineRule="auto"/>
        <w:ind w:left="720" w:hanging="720"/>
      </w:pPr>
      <w:r>
        <w:lastRenderedPageBreak/>
        <w:t>(1</w:t>
      </w:r>
      <w:r w:rsidR="0082466A">
        <w:t>3</w:t>
      </w:r>
      <w:r w:rsidR="00CD3E1F">
        <w:t xml:space="preserve">) Philip Carl Salzman’s </w:t>
      </w:r>
      <w:r w:rsidR="00CD3E1F">
        <w:rPr>
          <w:i/>
        </w:rPr>
        <w:t>Culture and Conflict in the Middle East</w:t>
      </w:r>
      <w:r w:rsidR="00CD3E1F">
        <w:t xml:space="preserve"> (Humanity Books/ Prometheus Books, 2008).</w:t>
      </w:r>
    </w:p>
    <w:p w14:paraId="76EEFAF7" w14:textId="0EF29017" w:rsidR="00A25F1F" w:rsidRDefault="00DE0805" w:rsidP="000A0883">
      <w:pPr>
        <w:spacing w:line="480" w:lineRule="auto"/>
        <w:ind w:left="720" w:hanging="720"/>
      </w:pPr>
      <w:r>
        <w:t>(1</w:t>
      </w:r>
      <w:r w:rsidR="0082466A">
        <w:t>4</w:t>
      </w:r>
      <w:r w:rsidR="00A25F1F">
        <w:t xml:space="preserve">) </w:t>
      </w:r>
      <w:r w:rsidR="00592CAC">
        <w:t xml:space="preserve">Jacob Burckhardt’s </w:t>
      </w:r>
      <w:r w:rsidR="00592CAC">
        <w:rPr>
          <w:i/>
        </w:rPr>
        <w:t>The Greeks and Greek Civilization</w:t>
      </w:r>
      <w:r w:rsidR="00592CAC">
        <w:t xml:space="preserve">, translated from the German by Sheila Stern; edited by </w:t>
      </w:r>
      <w:proofErr w:type="spellStart"/>
      <w:r w:rsidR="00592CAC">
        <w:t>Oswyn</w:t>
      </w:r>
      <w:proofErr w:type="spellEnd"/>
      <w:r w:rsidR="00592CAC">
        <w:t xml:space="preserve"> Murray </w:t>
      </w:r>
      <w:r w:rsidR="0011057E">
        <w:t>(</w:t>
      </w:r>
      <w:r w:rsidR="00592CAC">
        <w:t>St. Martin’s P</w:t>
      </w:r>
      <w:r w:rsidR="00180434">
        <w:t>ress</w:t>
      </w:r>
      <w:r w:rsidR="00592CAC">
        <w:t>, 1998).</w:t>
      </w:r>
    </w:p>
    <w:p w14:paraId="491EC4B3" w14:textId="14CFCF20" w:rsidR="00592CAC" w:rsidRDefault="00DE0805" w:rsidP="000A0883">
      <w:pPr>
        <w:spacing w:line="480" w:lineRule="auto"/>
        <w:ind w:left="720" w:hanging="720"/>
      </w:pPr>
      <w:r>
        <w:t>(1</w:t>
      </w:r>
      <w:r w:rsidR="0082466A">
        <w:t>5</w:t>
      </w:r>
      <w:r w:rsidR="00592CAC">
        <w:t xml:space="preserve">) </w:t>
      </w:r>
      <w:r w:rsidR="00CD3E1F">
        <w:t xml:space="preserve">C. M. </w:t>
      </w:r>
      <w:proofErr w:type="spellStart"/>
      <w:r w:rsidR="00CD3E1F">
        <w:t>Bowra’s</w:t>
      </w:r>
      <w:proofErr w:type="spellEnd"/>
      <w:r w:rsidR="00CD3E1F">
        <w:t xml:space="preserve"> </w:t>
      </w:r>
      <w:r w:rsidR="00CD3E1F">
        <w:rPr>
          <w:i/>
        </w:rPr>
        <w:t>Heroic Poetry</w:t>
      </w:r>
      <w:r w:rsidR="00F95AFD">
        <w:t xml:space="preserve"> (Macmillan, 1952).</w:t>
      </w:r>
    </w:p>
    <w:p w14:paraId="3C6CE151" w14:textId="3E3995FF" w:rsidR="00F95AFD" w:rsidRPr="00F95AFD" w:rsidRDefault="00DE0805" w:rsidP="000A0883">
      <w:pPr>
        <w:spacing w:line="480" w:lineRule="auto"/>
        <w:ind w:left="720" w:hanging="720"/>
      </w:pPr>
      <w:r>
        <w:t>(1</w:t>
      </w:r>
      <w:r w:rsidR="0082466A">
        <w:t>6</w:t>
      </w:r>
      <w:r w:rsidR="00F95AFD">
        <w:t xml:space="preserve">) Ulrich </w:t>
      </w:r>
      <w:proofErr w:type="spellStart"/>
      <w:r w:rsidR="00F95AFD">
        <w:t>Broich’s</w:t>
      </w:r>
      <w:proofErr w:type="spellEnd"/>
      <w:r w:rsidR="00F95AFD">
        <w:t xml:space="preserve"> </w:t>
      </w:r>
      <w:proofErr w:type="gramStart"/>
      <w:r w:rsidR="00F95AFD">
        <w:rPr>
          <w:i/>
        </w:rPr>
        <w:t>The</w:t>
      </w:r>
      <w:proofErr w:type="gramEnd"/>
      <w:r w:rsidR="00F95AFD">
        <w:rPr>
          <w:i/>
        </w:rPr>
        <w:t xml:space="preserve"> Eighteenth-Century Mock-Heroic Poem</w:t>
      </w:r>
      <w:r w:rsidR="00F95AFD">
        <w:t>, translated from the German by David Henry Wilson (Cambridge</w:t>
      </w:r>
      <w:r w:rsidR="00972A97">
        <w:t xml:space="preserve"> University Press</w:t>
      </w:r>
      <w:r w:rsidR="00F95AFD">
        <w:t>, 1990).</w:t>
      </w:r>
    </w:p>
    <w:p w14:paraId="380CB58C" w14:textId="18D30E8D" w:rsidR="00D66CC0" w:rsidRPr="00F92DE0" w:rsidRDefault="00DE0805" w:rsidP="000A0883">
      <w:pPr>
        <w:spacing w:line="480" w:lineRule="auto"/>
        <w:ind w:left="720" w:hanging="720"/>
      </w:pPr>
      <w:r>
        <w:t>(1</w:t>
      </w:r>
      <w:r w:rsidR="0082466A">
        <w:t>7</w:t>
      </w:r>
      <w:r w:rsidR="00D66CC0">
        <w:t xml:space="preserve">) Barbara </w:t>
      </w:r>
      <w:proofErr w:type="spellStart"/>
      <w:r w:rsidR="00D66CC0">
        <w:t>Koziak’s</w:t>
      </w:r>
      <w:proofErr w:type="spellEnd"/>
      <w:r w:rsidR="00F92DE0">
        <w:t xml:space="preserve"> </w:t>
      </w:r>
      <w:r w:rsidR="00F92DE0">
        <w:rPr>
          <w:i/>
        </w:rPr>
        <w:t>Retrieving Political Emotion:</w:t>
      </w:r>
      <w:r w:rsidR="00F92DE0">
        <w:t xml:space="preserve"> </w:t>
      </w:r>
      <w:proofErr w:type="spellStart"/>
      <w:r w:rsidR="00F92DE0">
        <w:t>Thumos</w:t>
      </w:r>
      <w:proofErr w:type="spellEnd"/>
      <w:r w:rsidR="00F92DE0">
        <w:rPr>
          <w:i/>
        </w:rPr>
        <w:t>, Aristotle, and Gender</w:t>
      </w:r>
      <w:r w:rsidR="00F92DE0">
        <w:t xml:space="preserve"> (Pennsylvania State</w:t>
      </w:r>
      <w:r w:rsidR="00972A97">
        <w:t xml:space="preserve"> University Press</w:t>
      </w:r>
      <w:r w:rsidR="00F92DE0">
        <w:t>, 2000).</w:t>
      </w:r>
    </w:p>
    <w:p w14:paraId="5A9D7C85" w14:textId="3FD86576" w:rsidR="00AC20AE" w:rsidRDefault="00DE0805" w:rsidP="000A0883">
      <w:pPr>
        <w:spacing w:line="480" w:lineRule="auto"/>
        <w:ind w:left="720" w:hanging="720"/>
      </w:pPr>
      <w:r>
        <w:t>(1</w:t>
      </w:r>
      <w:r w:rsidR="0082466A">
        <w:t>8</w:t>
      </w:r>
      <w:r w:rsidR="00D66CC0">
        <w:t xml:space="preserve">) Mark D. Morelli’s essay “Reversing the Counter-Position: The </w:t>
      </w:r>
      <w:r w:rsidR="00D66CC0">
        <w:rPr>
          <w:i/>
        </w:rPr>
        <w:t>Argumentum ad Hominem</w:t>
      </w:r>
      <w:r w:rsidR="00D66CC0">
        <w:t xml:space="preserve"> in Philosophical Dialogue” in the</w:t>
      </w:r>
      <w:r w:rsidR="00AF017C">
        <w:t xml:space="preserve"> annual periodical edited by Fred Lawrence</w:t>
      </w:r>
      <w:r w:rsidR="004D1C9E">
        <w:t xml:space="preserve"> of Boston College</w:t>
      </w:r>
      <w:r w:rsidR="00AF017C">
        <w:t>, the</w:t>
      </w:r>
      <w:r w:rsidR="00D66CC0">
        <w:t xml:space="preserve"> </w:t>
      </w:r>
      <w:r w:rsidR="00D66CC0">
        <w:rPr>
          <w:i/>
        </w:rPr>
        <w:t>Lonergan Workshop</w:t>
      </w:r>
      <w:r w:rsidR="00D66CC0">
        <w:t xml:space="preserve"> 6 (Atlanta</w:t>
      </w:r>
      <w:r w:rsidR="00A129AB">
        <w:t>:</w:t>
      </w:r>
      <w:r w:rsidR="00D66CC0">
        <w:t xml:space="preserve"> 1986):</w:t>
      </w:r>
      <w:r w:rsidR="004D1C9E">
        <w:t xml:space="preserve"> pp.</w:t>
      </w:r>
      <w:r w:rsidR="00D66CC0">
        <w:t xml:space="preserve"> 195-230</w:t>
      </w:r>
      <w:r w:rsidR="00AF017C">
        <w:t>. In Aristotle’s hierarchy of values, philosophical dialogue was more prestigious than public debate involving civic rhetoric.</w:t>
      </w:r>
      <w:r w:rsidR="00AC20AE">
        <w:t xml:space="preserve"> In civic rhetoric, Aristotle sees the use of </w:t>
      </w:r>
      <w:r w:rsidR="00AC20AE">
        <w:rPr>
          <w:i/>
        </w:rPr>
        <w:t>ethos</w:t>
      </w:r>
      <w:r w:rsidR="00AC20AE">
        <w:t xml:space="preserve"> as one appeal (along with </w:t>
      </w:r>
      <w:r w:rsidR="00AC20AE">
        <w:rPr>
          <w:i/>
        </w:rPr>
        <w:t>logos</w:t>
      </w:r>
      <w:r w:rsidR="00AC20AE">
        <w:t xml:space="preserve"> and </w:t>
      </w:r>
      <w:r w:rsidR="00AC20AE">
        <w:rPr>
          <w:i/>
        </w:rPr>
        <w:t>pathos</w:t>
      </w:r>
      <w:r w:rsidR="00AC20AE">
        <w:t>).</w:t>
      </w:r>
      <w:r w:rsidR="00AF017C">
        <w:t xml:space="preserve"> Because Aristotle has no objection to the use of the </w:t>
      </w:r>
      <w:r w:rsidR="00AF017C">
        <w:rPr>
          <w:i/>
        </w:rPr>
        <w:t>argumentum ad hominem</w:t>
      </w:r>
      <w:r w:rsidR="00AF017C">
        <w:t xml:space="preserve"> in philosophical dialogue, one assumes that he would have no problem with it in civic rhetoric.</w:t>
      </w:r>
    </w:p>
    <w:p w14:paraId="66BEF127" w14:textId="3E1B0D14" w:rsidR="00FB1E6B" w:rsidRPr="00FB1E6B" w:rsidRDefault="00DE0805" w:rsidP="000A0883">
      <w:pPr>
        <w:spacing w:line="480" w:lineRule="auto"/>
        <w:ind w:left="720" w:hanging="720"/>
      </w:pPr>
      <w:r>
        <w:t>(1</w:t>
      </w:r>
      <w:r w:rsidR="0082466A">
        <w:t>9</w:t>
      </w:r>
      <w:r w:rsidR="00FB1E6B">
        <w:t xml:space="preserve">) William M. A. Grimaldi’s essay “The Auditors’ Role in Aristotelian Rhetoric” in </w:t>
      </w:r>
      <w:r w:rsidR="00FB1E6B">
        <w:rPr>
          <w:i/>
        </w:rPr>
        <w:t>Oral and Written Communication: Historical Approaches</w:t>
      </w:r>
      <w:r w:rsidR="00FB1E6B">
        <w:t>, edited by Richard Leo Enos (Sage Publications, 1990, pp. 65-81).</w:t>
      </w:r>
    </w:p>
    <w:p w14:paraId="46364227" w14:textId="412127A4" w:rsidR="00D66CC0" w:rsidRPr="007918B0" w:rsidRDefault="00DE0805" w:rsidP="000A0883">
      <w:pPr>
        <w:spacing w:line="480" w:lineRule="auto"/>
        <w:ind w:left="720" w:hanging="720"/>
      </w:pPr>
      <w:r>
        <w:t>(</w:t>
      </w:r>
      <w:r w:rsidR="0082466A">
        <w:t>20</w:t>
      </w:r>
      <w:r w:rsidR="00D66CC0">
        <w:t xml:space="preserve">) Ong’s </w:t>
      </w:r>
      <w:r w:rsidR="00D66CC0">
        <w:rPr>
          <w:i/>
        </w:rPr>
        <w:t>Ramus, Method, and the Decay of Dialogue: From the Art of Discourse to the Art of Reason</w:t>
      </w:r>
      <w:r w:rsidR="00D66CC0">
        <w:t xml:space="preserve"> (</w:t>
      </w:r>
      <w:r w:rsidR="004D1C9E">
        <w:t xml:space="preserve">Harvard University Press, </w:t>
      </w:r>
      <w:r w:rsidR="00D66CC0">
        <w:t xml:space="preserve">1958). Basically, the Art of Discourse is agonistic and dialogical in spirit because it involves explicitly addressing real or imagined adversaries or adversarial </w:t>
      </w:r>
      <w:r w:rsidR="00D66CC0">
        <w:lastRenderedPageBreak/>
        <w:t>positions. By contrast, the Art of Reason is basically not explicitly dialogical but monological in spirit because it does not involve explicitly adverting to real or imagined adversaries or adversarial positions, concentrating instead on presenting the author’s own line of thought.</w:t>
      </w:r>
    </w:p>
    <w:p w14:paraId="2A94BBF8" w14:textId="393DAEFF" w:rsidR="00D66CC0" w:rsidRPr="000A1518" w:rsidRDefault="00DE0805" w:rsidP="000A0883">
      <w:pPr>
        <w:spacing w:line="480" w:lineRule="auto"/>
        <w:ind w:left="720" w:hanging="720"/>
      </w:pPr>
      <w:r>
        <w:t>(2</w:t>
      </w:r>
      <w:r w:rsidR="0082466A">
        <w:t>1</w:t>
      </w:r>
      <w:r w:rsidR="00D66CC0">
        <w:t>) Thomas O. Sloane’s</w:t>
      </w:r>
      <w:r w:rsidR="000A1518">
        <w:t xml:space="preserve"> </w:t>
      </w:r>
      <w:proofErr w:type="gramStart"/>
      <w:r w:rsidR="000A1518">
        <w:rPr>
          <w:i/>
        </w:rPr>
        <w:t>On</w:t>
      </w:r>
      <w:proofErr w:type="gramEnd"/>
      <w:r w:rsidR="000A1518">
        <w:rPr>
          <w:i/>
        </w:rPr>
        <w:t xml:space="preserve"> the Contrary: The Protocol of Traditional Rhetoric</w:t>
      </w:r>
      <w:r w:rsidR="000A1518">
        <w:t xml:space="preserve"> (Catholic</w:t>
      </w:r>
      <w:r w:rsidR="00972A97">
        <w:t xml:space="preserve"> University of </w:t>
      </w:r>
      <w:r w:rsidR="000A1518">
        <w:t>America P</w:t>
      </w:r>
      <w:r w:rsidR="004D1C9E">
        <w:t>ress</w:t>
      </w:r>
      <w:r w:rsidR="000A1518">
        <w:t>, 1997).</w:t>
      </w:r>
    </w:p>
    <w:p w14:paraId="26FBDEDB" w14:textId="5BC1E114" w:rsidR="000778E0" w:rsidRPr="003D3399" w:rsidRDefault="00DE0805" w:rsidP="000A0883">
      <w:pPr>
        <w:spacing w:line="480" w:lineRule="auto"/>
        <w:ind w:left="720" w:hanging="720"/>
      </w:pPr>
      <w:r>
        <w:t>(2</w:t>
      </w:r>
      <w:r w:rsidR="0082466A">
        <w:t>2</w:t>
      </w:r>
      <w:r w:rsidR="003D3399">
        <w:t xml:space="preserve">) Mark S. Smith’s </w:t>
      </w:r>
      <w:r w:rsidR="003D3399">
        <w:rPr>
          <w:i/>
        </w:rPr>
        <w:t>Poetic Heroes: Literary Commemorations of Warriors and Warrior Culture in the Early Biblical World</w:t>
      </w:r>
      <w:r w:rsidR="003D3399">
        <w:t xml:space="preserve"> (William B. Eerdmans Publishing, 2014).</w:t>
      </w:r>
    </w:p>
    <w:p w14:paraId="27A12F28" w14:textId="5C2224A5" w:rsidR="000778E0" w:rsidRDefault="00DE0805" w:rsidP="000A0883">
      <w:pPr>
        <w:spacing w:line="480" w:lineRule="auto"/>
        <w:ind w:left="720" w:hanging="720"/>
      </w:pPr>
      <w:r>
        <w:t>(2</w:t>
      </w:r>
      <w:r w:rsidR="0082466A">
        <w:t>3</w:t>
      </w:r>
      <w:r w:rsidR="00846EC6">
        <w:t xml:space="preserve">) Debra Scoggins Ballentine’s </w:t>
      </w:r>
      <w:proofErr w:type="gramStart"/>
      <w:r w:rsidR="00846EC6">
        <w:rPr>
          <w:i/>
        </w:rPr>
        <w:t>The</w:t>
      </w:r>
      <w:proofErr w:type="gramEnd"/>
      <w:r w:rsidR="00846EC6">
        <w:rPr>
          <w:i/>
        </w:rPr>
        <w:t xml:space="preserve"> Conflict Myth and the Biblical Tradition</w:t>
      </w:r>
      <w:r w:rsidR="00846EC6">
        <w:t xml:space="preserve"> (Oxford</w:t>
      </w:r>
      <w:r w:rsidR="00972A97">
        <w:t xml:space="preserve"> University Press</w:t>
      </w:r>
      <w:r w:rsidR="00846EC6">
        <w:t>, 2015).</w:t>
      </w:r>
    </w:p>
    <w:p w14:paraId="6D9AE2D3" w14:textId="758F1819" w:rsidR="00846EC6" w:rsidRPr="005F22C8" w:rsidRDefault="00DE0805" w:rsidP="000A0883">
      <w:pPr>
        <w:spacing w:line="480" w:lineRule="auto"/>
        <w:ind w:left="2160" w:hanging="2160"/>
      </w:pPr>
      <w:r>
        <w:t>(2</w:t>
      </w:r>
      <w:r w:rsidR="0082466A">
        <w:t>4</w:t>
      </w:r>
      <w:r w:rsidR="006878B1">
        <w:t xml:space="preserve">) </w:t>
      </w:r>
      <w:r w:rsidR="005F22C8">
        <w:t xml:space="preserve">Neil Forsyth’s </w:t>
      </w:r>
      <w:r w:rsidR="005F22C8">
        <w:rPr>
          <w:i/>
        </w:rPr>
        <w:t>The Old Enemy: Satan and the Combat Myth</w:t>
      </w:r>
      <w:r w:rsidR="005F22C8">
        <w:t xml:space="preserve"> (Princeton</w:t>
      </w:r>
      <w:r w:rsidR="00972A97">
        <w:t xml:space="preserve"> University Press</w:t>
      </w:r>
      <w:r w:rsidR="005F22C8">
        <w:t>, 1987).</w:t>
      </w:r>
    </w:p>
    <w:p w14:paraId="69FCBBED" w14:textId="44EF9068" w:rsidR="000778E0" w:rsidRPr="000778E0" w:rsidRDefault="00DE0805" w:rsidP="000A0883">
      <w:pPr>
        <w:spacing w:line="480" w:lineRule="auto"/>
        <w:ind w:left="720" w:hanging="720"/>
      </w:pPr>
      <w:r>
        <w:t>(2</w:t>
      </w:r>
      <w:r w:rsidR="0082466A">
        <w:t>5</w:t>
      </w:r>
      <w:r w:rsidR="000778E0">
        <w:t xml:space="preserve">) St. Ignatius Loyola’s </w:t>
      </w:r>
      <w:r w:rsidR="000778E0">
        <w:rPr>
          <w:i/>
        </w:rPr>
        <w:t>Spiritual Exercises</w:t>
      </w:r>
      <w:r w:rsidR="000778E0">
        <w:t xml:space="preserve">, translated with a commentary by George E. </w:t>
      </w:r>
      <w:proofErr w:type="spellStart"/>
      <w:r w:rsidR="000778E0">
        <w:t>Ganss</w:t>
      </w:r>
      <w:proofErr w:type="spellEnd"/>
      <w:r w:rsidR="000778E0">
        <w:t xml:space="preserve"> (Institute of Jesuit Sources, 1992).</w:t>
      </w:r>
    </w:p>
    <w:p w14:paraId="1FC255EE" w14:textId="1ABFA3E9" w:rsidR="007918B0" w:rsidRPr="0007450A" w:rsidRDefault="00DE0805" w:rsidP="000A0883">
      <w:pPr>
        <w:spacing w:line="480" w:lineRule="auto"/>
        <w:ind w:left="720" w:hanging="720"/>
      </w:pPr>
      <w:r>
        <w:t>(2</w:t>
      </w:r>
      <w:r w:rsidR="0082466A">
        <w:t>6</w:t>
      </w:r>
      <w:r w:rsidR="005F22C8">
        <w:t xml:space="preserve">) </w:t>
      </w:r>
      <w:r w:rsidR="0007450A">
        <w:t xml:space="preserve">Philip Gleason’s </w:t>
      </w:r>
      <w:r w:rsidR="0007450A">
        <w:rPr>
          <w:i/>
        </w:rPr>
        <w:t>Contending with Modernity: [American] Catholic Higher Education in the Twentieth Century</w:t>
      </w:r>
      <w:r w:rsidR="0007450A">
        <w:t xml:space="preserve"> </w:t>
      </w:r>
      <w:r w:rsidR="0011057E">
        <w:t>(</w:t>
      </w:r>
      <w:r w:rsidR="0007450A">
        <w:t>Oxford</w:t>
      </w:r>
      <w:r w:rsidR="00972A97">
        <w:t xml:space="preserve"> University Press</w:t>
      </w:r>
      <w:r w:rsidR="0007450A">
        <w:t>, 1995).</w:t>
      </w:r>
    </w:p>
    <w:p w14:paraId="7D675556" w14:textId="26F028CE" w:rsidR="003A32E4" w:rsidRDefault="00DE0805" w:rsidP="000A0883">
      <w:pPr>
        <w:spacing w:line="480" w:lineRule="auto"/>
      </w:pPr>
      <w:r>
        <w:t>(2</w:t>
      </w:r>
      <w:r w:rsidR="0082466A">
        <w:t>7</w:t>
      </w:r>
      <w:r w:rsidR="0007450A">
        <w:t xml:space="preserve">) Harold Bloom’s </w:t>
      </w:r>
      <w:r w:rsidR="00AA2300" w:rsidRPr="00AA2300">
        <w:t>Agon</w:t>
      </w:r>
      <w:r w:rsidR="00AA2300">
        <w:rPr>
          <w:i/>
        </w:rPr>
        <w:t>: Towards a Theory of Revisionism</w:t>
      </w:r>
      <w:r w:rsidR="00AA2300">
        <w:t xml:space="preserve"> (Oxford</w:t>
      </w:r>
      <w:r w:rsidR="00972A97">
        <w:t xml:space="preserve"> University Press</w:t>
      </w:r>
      <w:r w:rsidR="00AA2300">
        <w:t>, 1982).</w:t>
      </w:r>
    </w:p>
    <w:p w14:paraId="48C1AC52" w14:textId="2C1A44EE" w:rsidR="00F22939" w:rsidRDefault="00C34C52" w:rsidP="000A0883">
      <w:pPr>
        <w:spacing w:line="480" w:lineRule="auto"/>
        <w:ind w:left="720" w:hanging="720"/>
      </w:pPr>
      <w:r>
        <w:t>(2</w:t>
      </w:r>
      <w:r w:rsidR="0082466A">
        <w:t>8</w:t>
      </w:r>
      <w:r>
        <w:t xml:space="preserve">) Pope Francis’ short 135-page 2013 book </w:t>
      </w:r>
      <w:r>
        <w:rPr>
          <w:i/>
          <w:iCs/>
        </w:rPr>
        <w:t>In Him Alone Is Our Hope: Spiritual Exercises Given [by then-Cardinal Jorge Mario Bergoglio] to His Brother Bishops [of Spain] in the Manner of Saint Ignatius of Loyola</w:t>
      </w:r>
      <w:r>
        <w:t xml:space="preserve">, edited by Romain </w:t>
      </w:r>
      <w:proofErr w:type="spellStart"/>
      <w:r>
        <w:t>Lize</w:t>
      </w:r>
      <w:proofErr w:type="spellEnd"/>
      <w:r>
        <w:t>; translated by Vincent Capuano, S.J., and Andrew Matt (Magnificat).</w:t>
      </w:r>
    </w:p>
    <w:p w14:paraId="1F292E55" w14:textId="6F859AC1" w:rsidR="00DD249F" w:rsidRDefault="00F22939" w:rsidP="000A0883">
      <w:pPr>
        <w:spacing w:line="480" w:lineRule="auto"/>
        <w:ind w:left="720" w:hanging="720"/>
      </w:pPr>
      <w:r>
        <w:lastRenderedPageBreak/>
        <w:t>(2</w:t>
      </w:r>
      <w:r w:rsidR="0082466A">
        <w:t>9</w:t>
      </w:r>
      <w:r>
        <w:t xml:space="preserve">) Michel Foucault’s </w:t>
      </w:r>
      <w:r>
        <w:rPr>
          <w:i/>
          <w:iCs/>
        </w:rPr>
        <w:t>Confessions of the Flesh</w:t>
      </w:r>
      <w:r>
        <w:t xml:space="preserve">, translated by Robert Hurley; edited and with a “Foreword” by Frederic Gros </w:t>
      </w:r>
      <w:r w:rsidR="0011057E">
        <w:t>(</w:t>
      </w:r>
      <w:r>
        <w:t>Pantheon Books, 2021)</w:t>
      </w:r>
      <w:r w:rsidR="00DD249F">
        <w:t>.</w:t>
      </w:r>
      <w:r w:rsidR="00DD16C8">
        <w:t xml:space="preserve"> Foucault discusses the theme of interior spiritual combat.</w:t>
      </w:r>
    </w:p>
    <w:p w14:paraId="6DF8EAB2" w14:textId="6C2CF416" w:rsidR="00C34C52" w:rsidRPr="00C34C52" w:rsidRDefault="00DD249F" w:rsidP="000A0883">
      <w:pPr>
        <w:spacing w:line="480" w:lineRule="auto"/>
        <w:ind w:left="720" w:hanging="720"/>
      </w:pPr>
      <w:r>
        <w:t>(</w:t>
      </w:r>
      <w:r w:rsidR="0082466A">
        <w:t>30</w:t>
      </w:r>
      <w:r>
        <w:t xml:space="preserve">) Werner H. </w:t>
      </w:r>
      <w:proofErr w:type="spellStart"/>
      <w:r>
        <w:t>Kelber’s</w:t>
      </w:r>
      <w:proofErr w:type="spellEnd"/>
      <w:r>
        <w:t xml:space="preserve"> </w:t>
      </w:r>
      <w:proofErr w:type="gramStart"/>
      <w:r>
        <w:rPr>
          <w:i/>
          <w:iCs/>
        </w:rPr>
        <w:t>The</w:t>
      </w:r>
      <w:proofErr w:type="gramEnd"/>
      <w:r>
        <w:rPr>
          <w:i/>
          <w:iCs/>
        </w:rPr>
        <w:t xml:space="preserve"> Oral and the Written Gospel: The Hermeneutics of Speaking and Writing in the Synoptic Tradition, Mark, Paul, and Q</w:t>
      </w:r>
      <w:r>
        <w:t xml:space="preserve"> (Fortress Press, 1983).</w:t>
      </w:r>
      <w:r w:rsidR="00C34C52">
        <w:t xml:space="preserve"> </w:t>
      </w:r>
    </w:p>
    <w:p w14:paraId="0041C832" w14:textId="0AE8AFF6" w:rsidR="00AA2300" w:rsidRPr="00A97796" w:rsidRDefault="00AA2300" w:rsidP="000A0883">
      <w:pPr>
        <w:spacing w:line="480" w:lineRule="auto"/>
        <w:rPr>
          <w:u w:val="single"/>
        </w:rPr>
      </w:pPr>
    </w:p>
    <w:p w14:paraId="4606D61E" w14:textId="18B48D69" w:rsidR="003A32E4" w:rsidRPr="00951A4E" w:rsidRDefault="003A32E4" w:rsidP="000A0883">
      <w:pPr>
        <w:spacing w:line="480" w:lineRule="auto"/>
        <w:rPr>
          <w:b/>
          <w:u w:val="single"/>
        </w:rPr>
      </w:pPr>
      <w:r w:rsidRPr="00951A4E">
        <w:rPr>
          <w:b/>
          <w:u w:val="single"/>
        </w:rPr>
        <w:t>Theme</w:t>
      </w:r>
      <w:r w:rsidR="00D84E2E">
        <w:rPr>
          <w:b/>
          <w:u w:val="single"/>
        </w:rPr>
        <w:t xml:space="preserve"> V</w:t>
      </w:r>
      <w:r w:rsidRPr="00951A4E">
        <w:rPr>
          <w:b/>
          <w:u w:val="single"/>
        </w:rPr>
        <w:t>: The Inward Turn of Consciousness</w:t>
      </w:r>
      <w:r w:rsidR="001F40FD">
        <w:rPr>
          <w:b/>
          <w:u w:val="single"/>
        </w:rPr>
        <w:t xml:space="preserve"> (Ong, 1982, pp. 178-179)</w:t>
      </w:r>
    </w:p>
    <w:p w14:paraId="0F511458" w14:textId="77777777" w:rsidR="003A32E4" w:rsidRDefault="003A32E4" w:rsidP="000A0883">
      <w:pPr>
        <w:spacing w:line="480" w:lineRule="auto"/>
      </w:pPr>
    </w:p>
    <w:p w14:paraId="34862679" w14:textId="0BE39983" w:rsidR="00D02F00" w:rsidRDefault="006D43D0" w:rsidP="000A0883">
      <w:pPr>
        <w:spacing w:line="480" w:lineRule="auto"/>
      </w:pPr>
      <w:r>
        <w:t>(1</w:t>
      </w:r>
      <w:r w:rsidR="003A32E4">
        <w:t>)</w:t>
      </w:r>
      <w:r w:rsidR="00550172">
        <w:t xml:space="preserve"> Ong’s </w:t>
      </w:r>
      <w:r w:rsidR="00550172">
        <w:rPr>
          <w:i/>
        </w:rPr>
        <w:t>Hopkins, the Self, and God</w:t>
      </w:r>
      <w:r w:rsidR="00550172">
        <w:t xml:space="preserve"> (</w:t>
      </w:r>
      <w:r w:rsidR="004970C1">
        <w:t xml:space="preserve">University of Toronto Press, </w:t>
      </w:r>
      <w:r w:rsidR="00550172">
        <w:t>1986)</w:t>
      </w:r>
      <w:r w:rsidR="00747E58">
        <w:t>.</w:t>
      </w:r>
    </w:p>
    <w:p w14:paraId="197EB3C5" w14:textId="7FC46009" w:rsidR="00D02F00" w:rsidRDefault="00D02F00" w:rsidP="000A0883">
      <w:pPr>
        <w:spacing w:line="480" w:lineRule="auto"/>
      </w:pPr>
      <w:r>
        <w:t xml:space="preserve">(2) </w:t>
      </w:r>
      <w:r>
        <w:rPr>
          <w:i/>
        </w:rPr>
        <w:t>Frontiers in American Catholicism:  Essays on Ideology and Culture</w:t>
      </w:r>
      <w:r>
        <w:t xml:space="preserve"> (</w:t>
      </w:r>
      <w:r w:rsidR="004970C1">
        <w:t>Macmillan,</w:t>
      </w:r>
      <w:r>
        <w:t>1957).</w:t>
      </w:r>
    </w:p>
    <w:p w14:paraId="2CC34ECE" w14:textId="733E6DBA" w:rsidR="00027246" w:rsidRPr="00027246" w:rsidRDefault="006D43D0" w:rsidP="000A0883">
      <w:pPr>
        <w:spacing w:line="480" w:lineRule="auto"/>
      </w:pPr>
      <w:r>
        <w:t>(</w:t>
      </w:r>
      <w:r w:rsidR="00D02F00">
        <w:t>3</w:t>
      </w:r>
      <w:r w:rsidR="00027246">
        <w:t xml:space="preserve">) Ong’s </w:t>
      </w:r>
      <w:r w:rsidR="00027246">
        <w:rPr>
          <w:i/>
        </w:rPr>
        <w:t>The Barbarian Within: And Other Fugitive Essays and Studies</w:t>
      </w:r>
      <w:r w:rsidR="00027246">
        <w:t xml:space="preserve"> (</w:t>
      </w:r>
      <w:r w:rsidR="004970C1">
        <w:t xml:space="preserve">Macmillan, </w:t>
      </w:r>
      <w:r w:rsidR="00027246">
        <w:t>1962).</w:t>
      </w:r>
    </w:p>
    <w:p w14:paraId="5BB2FE30" w14:textId="35539C29" w:rsidR="00747E58" w:rsidRDefault="006D43D0" w:rsidP="000A0883">
      <w:pPr>
        <w:spacing w:line="480" w:lineRule="auto"/>
        <w:ind w:left="720" w:hanging="720"/>
      </w:pPr>
      <w:r>
        <w:t>(</w:t>
      </w:r>
      <w:r w:rsidR="00D02F00">
        <w:t>4</w:t>
      </w:r>
      <w:r w:rsidR="00747E58">
        <w:t xml:space="preserve">) Ong’s </w:t>
      </w:r>
      <w:r w:rsidR="00747E58">
        <w:rPr>
          <w:i/>
        </w:rPr>
        <w:t>Orality and Literacy: The Technologizing of the Word</w:t>
      </w:r>
      <w:r w:rsidR="00747E58">
        <w:t xml:space="preserve"> (</w:t>
      </w:r>
      <w:r w:rsidR="004970C1">
        <w:t xml:space="preserve">Methuen, </w:t>
      </w:r>
      <w:r w:rsidR="00747E58">
        <w:t>1982</w:t>
      </w:r>
      <w:r w:rsidR="004970C1">
        <w:t>, pp. 178-179</w:t>
      </w:r>
      <w:r w:rsidR="00747E58">
        <w:t>).</w:t>
      </w:r>
    </w:p>
    <w:p w14:paraId="7CCE70F8" w14:textId="762D62DC" w:rsidR="00C47B14" w:rsidRPr="00027246" w:rsidRDefault="006D43D0" w:rsidP="000A0883">
      <w:pPr>
        <w:spacing w:line="480" w:lineRule="auto"/>
        <w:ind w:left="720" w:hanging="720"/>
      </w:pPr>
      <w:r>
        <w:t>(</w:t>
      </w:r>
      <w:r w:rsidR="00D02F00">
        <w:t>5</w:t>
      </w:r>
      <w:r w:rsidR="00C47B14">
        <w:t xml:space="preserve">) St. Ignatius Loyola’s </w:t>
      </w:r>
      <w:r w:rsidR="00C47B14">
        <w:rPr>
          <w:i/>
        </w:rPr>
        <w:t>Spiritual Exercises</w:t>
      </w:r>
      <w:r w:rsidR="00C47B14">
        <w:t xml:space="preserve">, translated with a commentary by George E. </w:t>
      </w:r>
      <w:proofErr w:type="spellStart"/>
      <w:r w:rsidR="00C47B14">
        <w:t>Ganss</w:t>
      </w:r>
      <w:proofErr w:type="spellEnd"/>
      <w:r w:rsidR="00C47B14">
        <w:t xml:space="preserve"> (Institute of Jesuit Sources, 1992).</w:t>
      </w:r>
    </w:p>
    <w:p w14:paraId="16D0CBC3" w14:textId="68ACDF52" w:rsidR="00550172" w:rsidRDefault="006D43D0" w:rsidP="000A0883">
      <w:pPr>
        <w:spacing w:line="480" w:lineRule="auto"/>
        <w:ind w:left="720" w:hanging="720"/>
      </w:pPr>
      <w:r>
        <w:t>(</w:t>
      </w:r>
      <w:r w:rsidR="00D02F00">
        <w:t>6</w:t>
      </w:r>
      <w:r w:rsidR="00550172">
        <w:t xml:space="preserve">) Pierre Teilhard de Chardin’s </w:t>
      </w:r>
      <w:proofErr w:type="gramStart"/>
      <w:r w:rsidR="00550172">
        <w:rPr>
          <w:i/>
        </w:rPr>
        <w:t>The</w:t>
      </w:r>
      <w:proofErr w:type="gramEnd"/>
      <w:r w:rsidR="00550172">
        <w:rPr>
          <w:i/>
        </w:rPr>
        <w:t xml:space="preserve"> Divine Milieu</w:t>
      </w:r>
      <w:r w:rsidR="00ED7602">
        <w:t>, translated by Sion Cowell (Sussex Academic P</w:t>
      </w:r>
      <w:r w:rsidR="004970C1">
        <w:t>ress</w:t>
      </w:r>
      <w:r w:rsidR="00ED7602">
        <w:t>, 2004).</w:t>
      </w:r>
    </w:p>
    <w:p w14:paraId="6325C072" w14:textId="3EF0FFE3" w:rsidR="00D02F00" w:rsidRPr="008439BB" w:rsidRDefault="00D02F00" w:rsidP="000A0883">
      <w:pPr>
        <w:spacing w:line="480" w:lineRule="auto"/>
        <w:ind w:left="720" w:hanging="720"/>
      </w:pPr>
      <w:r>
        <w:t xml:space="preserve">(7) David Riesman’s </w:t>
      </w:r>
      <w:r>
        <w:rPr>
          <w:i/>
        </w:rPr>
        <w:t>The Lonely Crowd: A Study of the Changing American Character</w:t>
      </w:r>
      <w:r>
        <w:t xml:space="preserve"> (Yale</w:t>
      </w:r>
      <w:r w:rsidR="00972A97">
        <w:t xml:space="preserve"> University Press</w:t>
      </w:r>
      <w:r>
        <w:t>, 1950).</w:t>
      </w:r>
    </w:p>
    <w:p w14:paraId="3A54AFA1" w14:textId="5DBC9030" w:rsidR="002A4DD5" w:rsidRPr="002A5F97" w:rsidRDefault="006D43D0" w:rsidP="000A0883">
      <w:pPr>
        <w:spacing w:line="480" w:lineRule="auto"/>
        <w:ind w:left="720" w:hanging="720"/>
      </w:pPr>
      <w:r>
        <w:t>(</w:t>
      </w:r>
      <w:r w:rsidR="00D02F00">
        <w:t>8</w:t>
      </w:r>
      <w:r w:rsidR="002A4DD5">
        <w:t>)</w:t>
      </w:r>
      <w:r w:rsidR="002A5F97">
        <w:t xml:space="preserve"> Bernard Williams’ </w:t>
      </w:r>
      <w:r w:rsidR="002A5F97">
        <w:rPr>
          <w:i/>
        </w:rPr>
        <w:t>Shame and Necessity</w:t>
      </w:r>
      <w:r w:rsidR="002A5F97">
        <w:t xml:space="preserve"> (</w:t>
      </w:r>
      <w:r w:rsidR="00972A97">
        <w:t xml:space="preserve">University of </w:t>
      </w:r>
      <w:r w:rsidR="002A5F97">
        <w:t>California P</w:t>
      </w:r>
      <w:r w:rsidR="004970C1">
        <w:t>ress</w:t>
      </w:r>
      <w:r w:rsidR="002A5F97">
        <w:t>, 1993)</w:t>
      </w:r>
      <w:r w:rsidR="007918B0">
        <w:t>.</w:t>
      </w:r>
    </w:p>
    <w:p w14:paraId="5DE281A3" w14:textId="37CD03F3" w:rsidR="005852BA" w:rsidRPr="005852BA" w:rsidRDefault="00D02F00" w:rsidP="000A0883">
      <w:pPr>
        <w:spacing w:line="480" w:lineRule="auto"/>
        <w:ind w:left="720" w:hanging="720"/>
      </w:pPr>
      <w:r>
        <w:lastRenderedPageBreak/>
        <w:t>(9</w:t>
      </w:r>
      <w:r w:rsidR="005852BA">
        <w:t xml:space="preserve">) Erich Fromm’s </w:t>
      </w:r>
      <w:r w:rsidR="005852BA">
        <w:rPr>
          <w:i/>
        </w:rPr>
        <w:t xml:space="preserve">You Shall Be </w:t>
      </w:r>
      <w:proofErr w:type="gramStart"/>
      <w:r w:rsidR="005852BA">
        <w:rPr>
          <w:i/>
        </w:rPr>
        <w:t>As</w:t>
      </w:r>
      <w:proofErr w:type="gramEnd"/>
      <w:r w:rsidR="005852BA">
        <w:rPr>
          <w:i/>
        </w:rPr>
        <w:t xml:space="preserve"> Gods: A Radical Interpretation of the Old Testament and Its Tradition</w:t>
      </w:r>
      <w:r w:rsidR="005852BA">
        <w:t xml:space="preserve"> </w:t>
      </w:r>
      <w:r w:rsidR="0011057E">
        <w:t>(</w:t>
      </w:r>
      <w:r w:rsidR="005852BA">
        <w:t>Ho</w:t>
      </w:r>
      <w:r w:rsidR="007918B0">
        <w:t>lt, Rinehart and Winston, 1966).</w:t>
      </w:r>
    </w:p>
    <w:p w14:paraId="5594355C" w14:textId="77CB67C3" w:rsidR="002A4DD5" w:rsidRPr="00665542" w:rsidRDefault="002A4DD5" w:rsidP="000A0883">
      <w:pPr>
        <w:spacing w:line="480" w:lineRule="auto"/>
        <w:ind w:left="720" w:hanging="720"/>
      </w:pPr>
      <w:r>
        <w:t>(</w:t>
      </w:r>
      <w:r w:rsidR="00D02F00">
        <w:t>10</w:t>
      </w:r>
      <w:r>
        <w:t>)</w:t>
      </w:r>
      <w:r w:rsidR="00665542">
        <w:t xml:space="preserve"> M. David </w:t>
      </w:r>
      <w:proofErr w:type="spellStart"/>
      <w:r w:rsidR="00665542">
        <w:t>Litwa’s</w:t>
      </w:r>
      <w:proofErr w:type="spellEnd"/>
      <w:r w:rsidR="00665542">
        <w:t xml:space="preserve"> </w:t>
      </w:r>
      <w:r w:rsidR="00665542">
        <w:rPr>
          <w:i/>
        </w:rPr>
        <w:t>Becoming Divine: An Introduction to Deification in Western Culture</w:t>
      </w:r>
      <w:r w:rsidR="00665542">
        <w:t xml:space="preserve"> (Cascade Books/ W</w:t>
      </w:r>
      <w:r w:rsidR="007918B0">
        <w:t>ipf and Stock Publishers, 2013).</w:t>
      </w:r>
    </w:p>
    <w:p w14:paraId="31D000E2" w14:textId="33BC0564" w:rsidR="002A5F97" w:rsidRPr="005D081A" w:rsidRDefault="00D02F00" w:rsidP="000A0883">
      <w:pPr>
        <w:spacing w:line="480" w:lineRule="auto"/>
        <w:ind w:left="720" w:hanging="720"/>
      </w:pPr>
      <w:r>
        <w:t>(11</w:t>
      </w:r>
      <w:r w:rsidR="002A5F97">
        <w:t>)</w:t>
      </w:r>
      <w:r w:rsidR="005D081A">
        <w:t xml:space="preserve"> </w:t>
      </w:r>
      <w:proofErr w:type="spellStart"/>
      <w:r w:rsidR="005D081A">
        <w:t>Litwa’s</w:t>
      </w:r>
      <w:proofErr w:type="spellEnd"/>
      <w:r w:rsidR="005D081A">
        <w:t xml:space="preserve"> </w:t>
      </w:r>
      <w:r w:rsidR="005D081A">
        <w:rPr>
          <w:i/>
        </w:rPr>
        <w:t>Desiring Divinity: Self-deification in Early Jewish and Christian Mythmaking</w:t>
      </w:r>
      <w:r w:rsidR="007918B0">
        <w:t xml:space="preserve"> </w:t>
      </w:r>
      <w:r w:rsidR="0011057E">
        <w:t>(</w:t>
      </w:r>
      <w:r w:rsidR="007918B0">
        <w:t>Oxford</w:t>
      </w:r>
      <w:r w:rsidR="00972A97">
        <w:t xml:space="preserve"> University Press</w:t>
      </w:r>
      <w:r w:rsidR="007918B0">
        <w:t>, 2016).</w:t>
      </w:r>
    </w:p>
    <w:p w14:paraId="13BEBE9D" w14:textId="179967C3" w:rsidR="002A4DD5" w:rsidRPr="00651531" w:rsidRDefault="002A4DD5" w:rsidP="000A0883">
      <w:pPr>
        <w:spacing w:line="480" w:lineRule="auto"/>
        <w:ind w:left="720" w:hanging="720"/>
      </w:pPr>
      <w:r>
        <w:t>(</w:t>
      </w:r>
      <w:r w:rsidR="00D02F00">
        <w:t>12</w:t>
      </w:r>
      <w:r>
        <w:t>)</w:t>
      </w:r>
      <w:r w:rsidR="00651531">
        <w:t xml:space="preserve"> </w:t>
      </w:r>
      <w:proofErr w:type="spellStart"/>
      <w:r w:rsidR="00651531">
        <w:t>Litwa’s</w:t>
      </w:r>
      <w:proofErr w:type="spellEnd"/>
      <w:r w:rsidR="00651531">
        <w:t xml:space="preserve"> </w:t>
      </w:r>
      <w:r w:rsidR="00651531">
        <w:rPr>
          <w:i/>
        </w:rPr>
        <w:t>The Early Christian Depiction of Jesus as a Mediterranean God</w:t>
      </w:r>
      <w:r w:rsidR="00651531">
        <w:t xml:space="preserve"> </w:t>
      </w:r>
      <w:r w:rsidR="007918B0">
        <w:t>(Fortress P</w:t>
      </w:r>
      <w:r w:rsidR="002F02A8">
        <w:t>ress</w:t>
      </w:r>
      <w:r w:rsidR="007918B0">
        <w:t>, 2014).</w:t>
      </w:r>
    </w:p>
    <w:p w14:paraId="17A33EB7" w14:textId="5A1A8B66" w:rsidR="002A4DD5" w:rsidRPr="00651531" w:rsidRDefault="00D02F00" w:rsidP="000A0883">
      <w:pPr>
        <w:spacing w:line="480" w:lineRule="auto"/>
        <w:ind w:left="720" w:hanging="720"/>
      </w:pPr>
      <w:r>
        <w:t>(13</w:t>
      </w:r>
      <w:r w:rsidR="002A4DD5">
        <w:t>)</w:t>
      </w:r>
      <w:r w:rsidR="00651531">
        <w:t xml:space="preserve"> </w:t>
      </w:r>
      <w:proofErr w:type="spellStart"/>
      <w:r w:rsidR="00651531">
        <w:t>Litwa’s</w:t>
      </w:r>
      <w:proofErr w:type="spellEnd"/>
      <w:r w:rsidR="00651531">
        <w:t xml:space="preserve"> </w:t>
      </w:r>
      <w:r w:rsidR="00651531">
        <w:rPr>
          <w:i/>
        </w:rPr>
        <w:t>We Are Being Transformed: Deification in Paul’s Soteriology</w:t>
      </w:r>
      <w:r w:rsidR="00651531">
        <w:t xml:space="preserve"> (</w:t>
      </w:r>
      <w:r w:rsidR="007918B0">
        <w:t>Walter de Gruyter, 2012).</w:t>
      </w:r>
    </w:p>
    <w:p w14:paraId="6CA9B65D" w14:textId="3E3098B0" w:rsidR="002A4DD5" w:rsidRPr="00651531" w:rsidRDefault="00D02F00" w:rsidP="000A0883">
      <w:pPr>
        <w:spacing w:line="480" w:lineRule="auto"/>
        <w:ind w:left="720" w:hanging="720"/>
      </w:pPr>
      <w:r>
        <w:t>(14</w:t>
      </w:r>
      <w:r w:rsidR="002A4DD5">
        <w:t>)</w:t>
      </w:r>
      <w:r w:rsidR="00651531">
        <w:t xml:space="preserve"> Norman Russell’s </w:t>
      </w:r>
      <w:r w:rsidR="00651531">
        <w:rPr>
          <w:i/>
        </w:rPr>
        <w:t>The Doctrine of Deification in the Greek Patristic Tradition</w:t>
      </w:r>
      <w:r w:rsidR="00651531">
        <w:t xml:space="preserve"> (</w:t>
      </w:r>
      <w:r w:rsidR="007918B0">
        <w:t>Oxford</w:t>
      </w:r>
      <w:r w:rsidR="00972A97">
        <w:t xml:space="preserve"> University Press</w:t>
      </w:r>
      <w:r w:rsidR="007918B0">
        <w:t>, 2004).</w:t>
      </w:r>
    </w:p>
    <w:p w14:paraId="45C5FD5A" w14:textId="4C4BA009" w:rsidR="002A4DD5" w:rsidRPr="006C259D" w:rsidRDefault="00D02F00" w:rsidP="000A0883">
      <w:pPr>
        <w:spacing w:line="480" w:lineRule="auto"/>
        <w:ind w:left="720" w:hanging="720"/>
      </w:pPr>
      <w:r>
        <w:t>(15</w:t>
      </w:r>
      <w:r w:rsidR="002A4DD5">
        <w:t>)</w:t>
      </w:r>
      <w:r w:rsidR="006C259D">
        <w:t xml:space="preserve"> Philip Cary’s </w:t>
      </w:r>
      <w:r w:rsidR="006C259D">
        <w:rPr>
          <w:i/>
        </w:rPr>
        <w:t>Augustine’s Invention of the Inner Self: The Legacy of a Christian Platonist</w:t>
      </w:r>
      <w:r w:rsidR="007918B0">
        <w:t xml:space="preserve"> (Oxford</w:t>
      </w:r>
      <w:r w:rsidR="00972A97">
        <w:t xml:space="preserve"> University Press</w:t>
      </w:r>
      <w:r w:rsidR="007918B0">
        <w:t>, 2000).</w:t>
      </w:r>
    </w:p>
    <w:p w14:paraId="5795515E" w14:textId="14DEE895" w:rsidR="002A4DD5" w:rsidRPr="006C259D" w:rsidRDefault="00D02F00" w:rsidP="000A0883">
      <w:pPr>
        <w:spacing w:line="480" w:lineRule="auto"/>
        <w:ind w:left="720" w:hanging="720"/>
      </w:pPr>
      <w:r>
        <w:t>(16</w:t>
      </w:r>
      <w:r w:rsidR="002A4DD5">
        <w:t>)</w:t>
      </w:r>
      <w:r w:rsidR="006C259D">
        <w:t xml:space="preserve"> </w:t>
      </w:r>
      <w:proofErr w:type="spellStart"/>
      <w:r w:rsidR="006C259D">
        <w:t>Ineke</w:t>
      </w:r>
      <w:proofErr w:type="spellEnd"/>
      <w:r w:rsidR="006C259D">
        <w:t xml:space="preserve"> van ‘t </w:t>
      </w:r>
      <w:proofErr w:type="spellStart"/>
      <w:r w:rsidR="006C259D">
        <w:t>Spijker’s</w:t>
      </w:r>
      <w:proofErr w:type="spellEnd"/>
      <w:r w:rsidR="006C259D">
        <w:t xml:space="preserve"> </w:t>
      </w:r>
      <w:r w:rsidR="006C259D">
        <w:rPr>
          <w:i/>
        </w:rPr>
        <w:t>Fictions of the Inner Life: Religious Literature and Formation of the Self in the Eleventh and Twelfth Centuries</w:t>
      </w:r>
      <w:r w:rsidR="006C259D">
        <w:t xml:space="preserve"> (</w:t>
      </w:r>
      <w:proofErr w:type="spellStart"/>
      <w:r w:rsidR="007918B0">
        <w:t>Brepols</w:t>
      </w:r>
      <w:proofErr w:type="spellEnd"/>
      <w:r w:rsidR="007918B0">
        <w:t>, 2004).</w:t>
      </w:r>
    </w:p>
    <w:p w14:paraId="165F5DAA" w14:textId="519A54B1" w:rsidR="002A4DD5" w:rsidRDefault="00D02F00" w:rsidP="000A0883">
      <w:pPr>
        <w:spacing w:line="480" w:lineRule="auto"/>
        <w:ind w:left="720" w:hanging="720"/>
      </w:pPr>
      <w:r>
        <w:t>(17</w:t>
      </w:r>
      <w:r w:rsidR="002A4DD5">
        <w:t>)</w:t>
      </w:r>
      <w:r w:rsidR="000D60B0">
        <w:t xml:space="preserve"> A. N. Williams’ </w:t>
      </w:r>
      <w:r w:rsidR="000D60B0">
        <w:rPr>
          <w:i/>
        </w:rPr>
        <w:t xml:space="preserve">The Ground of Union: Deification in Aquinas and </w:t>
      </w:r>
      <w:proofErr w:type="spellStart"/>
      <w:r w:rsidR="000D60B0">
        <w:rPr>
          <w:i/>
        </w:rPr>
        <w:t>Palamas</w:t>
      </w:r>
      <w:proofErr w:type="spellEnd"/>
      <w:r w:rsidR="000D60B0">
        <w:t xml:space="preserve"> (</w:t>
      </w:r>
      <w:r w:rsidR="007918B0">
        <w:t>Oxford</w:t>
      </w:r>
      <w:r w:rsidR="00972A97">
        <w:t xml:space="preserve"> University Press</w:t>
      </w:r>
      <w:r w:rsidR="007918B0">
        <w:t>, 1999).</w:t>
      </w:r>
    </w:p>
    <w:p w14:paraId="6399066B" w14:textId="3225A4B6" w:rsidR="000D60B0" w:rsidRDefault="00D02F00" w:rsidP="000A0883">
      <w:pPr>
        <w:spacing w:line="480" w:lineRule="auto"/>
        <w:ind w:left="720" w:hanging="720"/>
      </w:pPr>
      <w:r>
        <w:t>(18</w:t>
      </w:r>
      <w:r w:rsidR="000D60B0">
        <w:t xml:space="preserve">) Bernhard Blankenhorn’s </w:t>
      </w:r>
      <w:proofErr w:type="gramStart"/>
      <w:r w:rsidR="000D60B0">
        <w:rPr>
          <w:i/>
        </w:rPr>
        <w:t>The</w:t>
      </w:r>
      <w:proofErr w:type="gramEnd"/>
      <w:r w:rsidR="000D60B0">
        <w:rPr>
          <w:i/>
        </w:rPr>
        <w:t xml:space="preserve"> Mystery of Union with God: Dionysian Mysticism in Albert the Great and Thomas Aquinas</w:t>
      </w:r>
      <w:r w:rsidR="000D60B0">
        <w:t xml:space="preserve"> (</w:t>
      </w:r>
      <w:r w:rsidR="007918B0">
        <w:t>Catholic</w:t>
      </w:r>
      <w:r w:rsidR="00972A97">
        <w:t xml:space="preserve"> University of </w:t>
      </w:r>
      <w:r w:rsidR="007918B0">
        <w:t>America P</w:t>
      </w:r>
      <w:r w:rsidR="00CE675C">
        <w:t>ress</w:t>
      </w:r>
      <w:r w:rsidR="007918B0">
        <w:t>, 2015).</w:t>
      </w:r>
    </w:p>
    <w:p w14:paraId="0098118A" w14:textId="42C15006" w:rsidR="000D60B0" w:rsidRDefault="000D60B0" w:rsidP="000A0883">
      <w:pPr>
        <w:spacing w:line="480" w:lineRule="auto"/>
        <w:ind w:left="720" w:hanging="720"/>
      </w:pPr>
      <w:r>
        <w:t>(1</w:t>
      </w:r>
      <w:r w:rsidR="00D02F00">
        <w:t>9</w:t>
      </w:r>
      <w:r>
        <w:t xml:space="preserve">) Daria </w:t>
      </w:r>
      <w:proofErr w:type="spellStart"/>
      <w:r>
        <w:t>Spezzano’s</w:t>
      </w:r>
      <w:proofErr w:type="spellEnd"/>
      <w:r>
        <w:t xml:space="preserve"> </w:t>
      </w:r>
      <w:r>
        <w:rPr>
          <w:i/>
        </w:rPr>
        <w:t>The Glory of God’s Grace: Deification According to St. Thomas Aquinas</w:t>
      </w:r>
      <w:r>
        <w:t xml:space="preserve"> (</w:t>
      </w:r>
      <w:proofErr w:type="spellStart"/>
      <w:r>
        <w:t>Sapientia</w:t>
      </w:r>
      <w:proofErr w:type="spellEnd"/>
      <w:r>
        <w:t xml:space="preserve"> P</w:t>
      </w:r>
      <w:r w:rsidR="00252F66">
        <w:t>ress</w:t>
      </w:r>
      <w:r>
        <w:t xml:space="preserve"> of Ave Maria U</w:t>
      </w:r>
      <w:r w:rsidR="00252F66">
        <w:t>niversity</w:t>
      </w:r>
      <w:r>
        <w:t>, 2015; distribu</w:t>
      </w:r>
      <w:r w:rsidR="007918B0">
        <w:t>ted by Catholic</w:t>
      </w:r>
      <w:r w:rsidR="00972A97">
        <w:t xml:space="preserve"> University of </w:t>
      </w:r>
      <w:r w:rsidR="007918B0">
        <w:t>America P</w:t>
      </w:r>
      <w:r w:rsidR="00252F66">
        <w:t>ress</w:t>
      </w:r>
      <w:r w:rsidR="007918B0">
        <w:t>).</w:t>
      </w:r>
    </w:p>
    <w:p w14:paraId="64E5865D" w14:textId="5AEB1418" w:rsidR="0064516C" w:rsidRDefault="00D02F00" w:rsidP="000A0883">
      <w:pPr>
        <w:spacing w:line="480" w:lineRule="auto"/>
        <w:ind w:left="720" w:hanging="720"/>
      </w:pPr>
      <w:r>
        <w:lastRenderedPageBreak/>
        <w:t>(20</w:t>
      </w:r>
      <w:r w:rsidR="0064516C">
        <w:t xml:space="preserve">) Denis </w:t>
      </w:r>
      <w:proofErr w:type="spellStart"/>
      <w:r w:rsidR="0064516C">
        <w:t>Renevy’s</w:t>
      </w:r>
      <w:proofErr w:type="spellEnd"/>
      <w:r w:rsidR="0064516C">
        <w:t xml:space="preserve"> </w:t>
      </w:r>
      <w:r w:rsidR="0064516C">
        <w:rPr>
          <w:i/>
        </w:rPr>
        <w:t>Language, Self and Love: Hermeneutics in the Writings of Richard Rolle and the Commentaries on the</w:t>
      </w:r>
      <w:r w:rsidR="0064516C">
        <w:t xml:space="preserve"> Song of Song</w:t>
      </w:r>
      <w:r w:rsidR="007918B0">
        <w:t>s (</w:t>
      </w:r>
      <w:r w:rsidR="00972A97">
        <w:t xml:space="preserve">University of </w:t>
      </w:r>
      <w:r w:rsidR="007918B0">
        <w:t>Wales P</w:t>
      </w:r>
      <w:r w:rsidR="00252F66">
        <w:t>ress</w:t>
      </w:r>
      <w:r w:rsidR="007918B0">
        <w:t>, 2001).</w:t>
      </w:r>
    </w:p>
    <w:p w14:paraId="54609692" w14:textId="7A721072" w:rsidR="0064516C" w:rsidRPr="0064516C" w:rsidRDefault="00D02F00" w:rsidP="000A0883">
      <w:pPr>
        <w:spacing w:line="480" w:lineRule="auto"/>
        <w:ind w:left="720" w:hanging="720"/>
      </w:pPr>
      <w:r>
        <w:t>(21</w:t>
      </w:r>
      <w:r w:rsidR="0064516C">
        <w:t xml:space="preserve">) Anthony Low’s </w:t>
      </w:r>
      <w:r w:rsidR="0064516C">
        <w:rPr>
          <w:i/>
        </w:rPr>
        <w:t>Aspects of Subjectivity: Society and Individuality from the Middle Ages to Shakespeare and Milton</w:t>
      </w:r>
      <w:r w:rsidR="007918B0">
        <w:t xml:space="preserve"> (Duquesne</w:t>
      </w:r>
      <w:r w:rsidR="00972A97">
        <w:t xml:space="preserve"> University Press</w:t>
      </w:r>
      <w:r w:rsidR="007918B0">
        <w:t>, 2003).</w:t>
      </w:r>
    </w:p>
    <w:p w14:paraId="187D3CDA" w14:textId="3E3F5A10" w:rsidR="0064516C" w:rsidRPr="0064516C" w:rsidRDefault="006D43D0" w:rsidP="000A0883">
      <w:pPr>
        <w:spacing w:line="480" w:lineRule="auto"/>
        <w:ind w:left="720" w:hanging="720"/>
      </w:pPr>
      <w:r>
        <w:t>(2</w:t>
      </w:r>
      <w:r w:rsidR="00D02F00">
        <w:t>2</w:t>
      </w:r>
      <w:r w:rsidR="0064516C">
        <w:t xml:space="preserve">) Harold Bloom’s </w:t>
      </w:r>
      <w:r w:rsidR="0064516C">
        <w:rPr>
          <w:i/>
        </w:rPr>
        <w:t>Shakespeare: The Invention of the Human</w:t>
      </w:r>
      <w:r w:rsidR="0064516C">
        <w:t xml:space="preserve"> </w:t>
      </w:r>
      <w:r w:rsidR="0011057E">
        <w:t>(</w:t>
      </w:r>
      <w:r w:rsidR="0064516C">
        <w:t>R</w:t>
      </w:r>
      <w:r w:rsidR="001E1AFC">
        <w:t>i</w:t>
      </w:r>
      <w:r w:rsidR="0064516C">
        <w:t>verhe</w:t>
      </w:r>
      <w:r w:rsidR="007918B0">
        <w:t>ad Books/ Penguin Putnam, 1998).</w:t>
      </w:r>
    </w:p>
    <w:p w14:paraId="17943A8F" w14:textId="45F0F792" w:rsidR="0064516C" w:rsidRDefault="00D02F00" w:rsidP="000A0883">
      <w:pPr>
        <w:spacing w:line="480" w:lineRule="auto"/>
        <w:ind w:left="720" w:hanging="720"/>
      </w:pPr>
      <w:r>
        <w:t>(23</w:t>
      </w:r>
      <w:r w:rsidR="0064516C">
        <w:t xml:space="preserve">) Katharine </w:t>
      </w:r>
      <w:proofErr w:type="spellStart"/>
      <w:r w:rsidR="0064516C">
        <w:t>Eisaman</w:t>
      </w:r>
      <w:proofErr w:type="spellEnd"/>
      <w:r w:rsidR="0064516C">
        <w:t xml:space="preserve"> Maus’ </w:t>
      </w:r>
      <w:r w:rsidR="0064516C">
        <w:rPr>
          <w:i/>
        </w:rPr>
        <w:t>Inwardness and Theater in the English Renaissance</w:t>
      </w:r>
      <w:r w:rsidR="0064516C">
        <w:t xml:space="preserve"> (</w:t>
      </w:r>
      <w:r w:rsidR="00972A97">
        <w:t xml:space="preserve">University of </w:t>
      </w:r>
      <w:r w:rsidR="007918B0">
        <w:t>Chicago P</w:t>
      </w:r>
      <w:r w:rsidR="00252F66">
        <w:t>ress</w:t>
      </w:r>
      <w:r w:rsidR="007918B0">
        <w:t>, 1995).</w:t>
      </w:r>
    </w:p>
    <w:p w14:paraId="2C973EBE" w14:textId="7B1A4CF1" w:rsidR="0055301B" w:rsidRDefault="00D02F00" w:rsidP="000A0883">
      <w:pPr>
        <w:spacing w:line="480" w:lineRule="auto"/>
        <w:ind w:left="720" w:hanging="720"/>
      </w:pPr>
      <w:r>
        <w:t>(24</w:t>
      </w:r>
      <w:r w:rsidR="0055301B">
        <w:t xml:space="preserve">) Nancy Armstrong and Leonard </w:t>
      </w:r>
      <w:proofErr w:type="spellStart"/>
      <w:r w:rsidR="0055301B">
        <w:t>Tennenhouse’s</w:t>
      </w:r>
      <w:proofErr w:type="spellEnd"/>
      <w:r w:rsidR="0055301B">
        <w:t xml:space="preserve"> </w:t>
      </w:r>
      <w:proofErr w:type="gramStart"/>
      <w:r w:rsidR="0055301B">
        <w:rPr>
          <w:i/>
        </w:rPr>
        <w:t>The</w:t>
      </w:r>
      <w:proofErr w:type="gramEnd"/>
      <w:r w:rsidR="0055301B">
        <w:rPr>
          <w:i/>
        </w:rPr>
        <w:t xml:space="preserve"> Imaginary Puritan: Literature, Intellectual Labor, and the Origins of Personal Life</w:t>
      </w:r>
      <w:r w:rsidR="0055301B">
        <w:t xml:space="preserve"> (</w:t>
      </w:r>
      <w:r w:rsidR="00972A97">
        <w:t xml:space="preserve">University of </w:t>
      </w:r>
      <w:r w:rsidR="007918B0">
        <w:t>California P</w:t>
      </w:r>
      <w:r w:rsidR="009935A5">
        <w:t>ress</w:t>
      </w:r>
      <w:r w:rsidR="007918B0">
        <w:t>, 1992).</w:t>
      </w:r>
    </w:p>
    <w:p w14:paraId="414EBABE" w14:textId="45026755" w:rsidR="00C713D5" w:rsidRDefault="00D02F00" w:rsidP="000A0883">
      <w:pPr>
        <w:spacing w:line="480" w:lineRule="auto"/>
        <w:ind w:left="720" w:hanging="720"/>
      </w:pPr>
      <w:r>
        <w:t>(25</w:t>
      </w:r>
      <w:r w:rsidR="00C713D5">
        <w:t xml:space="preserve">) </w:t>
      </w:r>
      <w:proofErr w:type="spellStart"/>
      <w:r w:rsidR="00605136">
        <w:t>Dror</w:t>
      </w:r>
      <w:proofErr w:type="spellEnd"/>
      <w:r w:rsidR="00605136">
        <w:t xml:space="preserve"> </w:t>
      </w:r>
      <w:proofErr w:type="spellStart"/>
      <w:r w:rsidR="00605136">
        <w:t>Wahrman’s</w:t>
      </w:r>
      <w:proofErr w:type="spellEnd"/>
      <w:r w:rsidR="00605136">
        <w:t xml:space="preserve"> </w:t>
      </w:r>
      <w:r w:rsidR="00605136">
        <w:rPr>
          <w:i/>
        </w:rPr>
        <w:t>The Making of the Modern Self: Identity and Culture in Eighteenth-Century England</w:t>
      </w:r>
      <w:r w:rsidR="00605136">
        <w:t xml:space="preserve"> (</w:t>
      </w:r>
      <w:r w:rsidR="007918B0">
        <w:t>Yale</w:t>
      </w:r>
      <w:r w:rsidR="00972A97">
        <w:t xml:space="preserve"> University Press</w:t>
      </w:r>
      <w:r w:rsidR="007918B0">
        <w:t>, 2004).</w:t>
      </w:r>
    </w:p>
    <w:p w14:paraId="045EDBF3" w14:textId="33472613" w:rsidR="0055301B" w:rsidRDefault="00D02F00" w:rsidP="000A0883">
      <w:pPr>
        <w:spacing w:line="480" w:lineRule="auto"/>
        <w:ind w:left="720" w:hanging="720"/>
      </w:pPr>
      <w:r>
        <w:t xml:space="preserve"> (26</w:t>
      </w:r>
      <w:r w:rsidR="0055301B">
        <w:t>)</w:t>
      </w:r>
      <w:r w:rsidR="00C713D5">
        <w:t xml:space="preserve"> Larry Siedentop’s </w:t>
      </w:r>
      <w:r w:rsidR="00C713D5">
        <w:rPr>
          <w:i/>
        </w:rPr>
        <w:t>Inventing the Individual: The Origins of Western Liberalism</w:t>
      </w:r>
      <w:r w:rsidR="00C713D5">
        <w:t xml:space="preserve"> (</w:t>
      </w:r>
      <w:r w:rsidR="008439BB">
        <w:t>Belknap P</w:t>
      </w:r>
      <w:r w:rsidR="008E4665">
        <w:t xml:space="preserve">ress of </w:t>
      </w:r>
      <w:r w:rsidR="008439BB">
        <w:t>Harvard</w:t>
      </w:r>
      <w:r w:rsidR="00972A97">
        <w:t xml:space="preserve"> University Press</w:t>
      </w:r>
      <w:r w:rsidR="008439BB">
        <w:t>, 2014).</w:t>
      </w:r>
    </w:p>
    <w:p w14:paraId="64D211FC" w14:textId="253638F9" w:rsidR="00244D8F" w:rsidRPr="008937C3" w:rsidRDefault="00244D8F" w:rsidP="000A0883">
      <w:pPr>
        <w:spacing w:line="480" w:lineRule="auto"/>
        <w:ind w:left="720" w:hanging="720"/>
      </w:pPr>
      <w:r>
        <w:t xml:space="preserve">(27) Michel Foucault’s </w:t>
      </w:r>
      <w:r>
        <w:rPr>
          <w:i/>
          <w:iCs/>
        </w:rPr>
        <w:t>Confessions of the Flesh</w:t>
      </w:r>
      <w:r w:rsidR="00796AFB">
        <w:rPr>
          <w:i/>
          <w:iCs/>
        </w:rPr>
        <w:t>: The History of Sexuality: Volume 4</w:t>
      </w:r>
      <w:r>
        <w:t>, translated</w:t>
      </w:r>
      <w:r w:rsidR="00BB0963">
        <w:t xml:space="preserve"> from the French</w:t>
      </w:r>
      <w:r>
        <w:t xml:space="preserve"> by Robert Hurley; edited and with a </w:t>
      </w:r>
      <w:r w:rsidR="00F22939">
        <w:t>“Foreword”</w:t>
      </w:r>
      <w:r>
        <w:t xml:space="preserve"> by Frederic Gros </w:t>
      </w:r>
      <w:r w:rsidR="0011057E">
        <w:t>(</w:t>
      </w:r>
      <w:r>
        <w:t>Pantheon Books, 2021).</w:t>
      </w:r>
      <w:r w:rsidR="00DD16C8">
        <w:t xml:space="preserve"> What Foucault refers to as technologies of the self in ancient Western philosophy and in ancient Western Christianity involve what Ong refers to as the inward turn of consciousness</w:t>
      </w:r>
      <w:r w:rsidR="008E405C">
        <w:t xml:space="preserve"> – which Ong associates with the historical development of phonetic alphabetic literacy not only in the emergence of Western philosophy as exemplified in Plato and Aristotle, but also in the emergence of the residually oral texts in the anthology of texts known as the Hebrew Bible. Ah, but what about the ancient competing texts that did not make the cut and become accept as </w:t>
      </w:r>
      <w:r w:rsidR="008E405C">
        <w:lastRenderedPageBreak/>
        <w:t xml:space="preserve">part of the canonical texts of the Hebrew Bible? Similarly, what about the later ancient competing texts that did not make the cut and become accepted as the canonical texts of the New Testament? In both historical cases, </w:t>
      </w:r>
      <w:r w:rsidR="005378E7">
        <w:t>t</w:t>
      </w:r>
      <w:r w:rsidR="008E405C">
        <w:t>he process involved in winnowing out the</w:t>
      </w:r>
      <w:r w:rsidR="005378E7">
        <w:t xml:space="preserve"> texts that were not accepted involved the process of discernment of spirits expressed in each candidate text.</w:t>
      </w:r>
      <w:r w:rsidR="005520C8">
        <w:t xml:space="preserve"> Foucault discusses the process of discernment of spirits in detail in connection with the practice of the examination of conscience/consciousness and the parallel practice of spiritual direction in ancient Western monasticism (esp. p</w:t>
      </w:r>
      <w:r w:rsidR="00636D83">
        <w:t>p.</w:t>
      </w:r>
      <w:r w:rsidR="005520C8">
        <w:t xml:space="preserve"> </w:t>
      </w:r>
      <w:r w:rsidR="00444D53">
        <w:t>87-110</w:t>
      </w:r>
      <w:r w:rsidR="005520C8">
        <w:t>).</w:t>
      </w:r>
      <w:r w:rsidR="005378E7">
        <w:t xml:space="preserve"> But if the process that Ong refers to as the inward turn of consciousness was indeed involved with the development of phonetic alphabetic literacy not only in ancient Greek culture but also in ancient Hebrew culture, what then should we say about the even more pronounced inward turn of consciousness in the West after the Gutenberg printing press emerged in the mid-1450s? Clearly Ong’s terminology about the inward turn of consciousness is elastic and protean.</w:t>
      </w:r>
      <w:r w:rsidR="00107368">
        <w:t xml:space="preserve"> In Chloe Taylor’s book </w:t>
      </w:r>
      <w:r w:rsidR="00107368">
        <w:rPr>
          <w:i/>
          <w:iCs/>
        </w:rPr>
        <w:t>The Routledge Guidebook to Foucault’s</w:t>
      </w:r>
      <w:r w:rsidR="00107368">
        <w:t xml:space="preserve"> The History of Sexuality (Routledge, </w:t>
      </w:r>
      <w:r w:rsidR="00796AFB">
        <w:t>2017</w:t>
      </w:r>
      <w:r w:rsidR="00107368">
        <w:t>), Professor Taylor says “</w:t>
      </w:r>
      <w:r w:rsidR="00107368">
        <w:rPr>
          <w:i/>
          <w:iCs/>
        </w:rPr>
        <w:t>Confessions of the Flesh</w:t>
      </w:r>
      <w:r w:rsidR="00107368">
        <w:t xml:space="preserve"> is mentioned in the introduction to volume 2 as a forthcoming work, but like the volume on sexual ethics in the sixteenth century [a draft of which Foucault claimed was completed] it has never been published [until 2018 in French and in 2021 in English]” (p</w:t>
      </w:r>
      <w:r w:rsidR="008E4665">
        <w:t>.</w:t>
      </w:r>
      <w:r w:rsidR="00107368">
        <w:t xml:space="preserve"> 209).</w:t>
      </w:r>
      <w:r w:rsidR="00BB0963">
        <w:t xml:space="preserve"> Volume 2 of </w:t>
      </w:r>
      <w:r w:rsidR="00BB0963">
        <w:rPr>
          <w:i/>
          <w:iCs/>
        </w:rPr>
        <w:t>The History of Sexuality</w:t>
      </w:r>
      <w:r w:rsidR="00BB0963">
        <w:t xml:space="preserve"> is titled </w:t>
      </w:r>
      <w:r w:rsidR="00BB0963">
        <w:rPr>
          <w:i/>
          <w:iCs/>
        </w:rPr>
        <w:t>The Use of Pleasure</w:t>
      </w:r>
      <w:r w:rsidR="00BB0963">
        <w:t xml:space="preserve">, translated from the French by Robert Hurley </w:t>
      </w:r>
      <w:r w:rsidR="0011057E">
        <w:t>(</w:t>
      </w:r>
      <w:r w:rsidR="00BB0963">
        <w:t xml:space="preserve">Pantheon Books, 1985); it comes equipped with an </w:t>
      </w:r>
      <w:r w:rsidR="000846D6">
        <w:t>“Index” (p</w:t>
      </w:r>
      <w:r w:rsidR="00636D83">
        <w:t>p.</w:t>
      </w:r>
      <w:r w:rsidR="000846D6">
        <w:t xml:space="preserve"> 281-293), as do volumes 1 and 3; but volume 4 does not have an “Index.” In any event, the practice of confession in the context of ancient Western monasticism undoubtedly influenced the larger Western Christian practice of confession. In volume 4, Foucault</w:t>
      </w:r>
      <w:r w:rsidR="008937C3">
        <w:t xml:space="preserve"> hints that the theoretical framework of “the sexual ethic of [ancient] Western Christianity”</w:t>
      </w:r>
      <w:r w:rsidR="000846D6">
        <w:t xml:space="preserve"> </w:t>
      </w:r>
      <w:r w:rsidR="008937C3">
        <w:t xml:space="preserve">“will be the starting point for the next study” in </w:t>
      </w:r>
      <w:r w:rsidR="008937C3">
        <w:rPr>
          <w:i/>
          <w:iCs/>
        </w:rPr>
        <w:t>The History of Sexuality</w:t>
      </w:r>
      <w:r w:rsidR="008937C3">
        <w:t xml:space="preserve"> series, a next study that Foucault did not live to draft. In addition, in Volume 4,</w:t>
      </w:r>
      <w:r w:rsidR="00611292">
        <w:t xml:space="preserve"> after</w:t>
      </w:r>
      <w:r w:rsidR="008937C3">
        <w:t xml:space="preserve"> Foucault</w:t>
      </w:r>
      <w:r w:rsidR="00611292">
        <w:t xml:space="preserve"> discusses Saint Augustine, the bishop of Hippo, at </w:t>
      </w:r>
      <w:r w:rsidR="008B765F">
        <w:lastRenderedPageBreak/>
        <w:t>length, Foucault also hints with the words “as we’ll see” (p</w:t>
      </w:r>
      <w:r w:rsidR="00636D83">
        <w:t>.</w:t>
      </w:r>
      <w:r w:rsidR="008B765F">
        <w:t xml:space="preserve"> 284) as to what he plans to cover in subsequent volumes of </w:t>
      </w:r>
      <w:r w:rsidR="00741D8D">
        <w:rPr>
          <w:i/>
          <w:iCs/>
        </w:rPr>
        <w:t>The History of Sexuality</w:t>
      </w:r>
      <w:r w:rsidR="00741D8D">
        <w:t>, implying that he plans at least one further volume about medieval Western Christianity before and leading</w:t>
      </w:r>
      <w:r w:rsidR="00972A97">
        <w:t xml:space="preserve"> University Press</w:t>
      </w:r>
      <w:r w:rsidR="00741D8D">
        <w:t xml:space="preserve"> to the volume of sexual ethics in the sixteenth century that he claimed he had already drafted – which would coincide temporally with the Renaissance.</w:t>
      </w:r>
      <w:r w:rsidR="008B765F">
        <w:t xml:space="preserve"> </w:t>
      </w:r>
      <w:r w:rsidR="009118E2">
        <w:t>But your guess is as good as mine as to whether Foucault’s draft of sexual ethics in the sixteenth century will ever be published.</w:t>
      </w:r>
    </w:p>
    <w:p w14:paraId="4628B359" w14:textId="12983DC8" w:rsidR="009103BA" w:rsidRDefault="00B95AF5" w:rsidP="000A0883">
      <w:pPr>
        <w:spacing w:line="480" w:lineRule="auto"/>
      </w:pPr>
      <w:r>
        <w:t>In conclusion, as I have said above, the five themes in Ong’s work that I have selected for attention in the present bibliographic review do not exhaust all of the themes that can be found in Ong’s 400 or so distinct publications. However, these five themes are important themes in his work. One reason his work is important is the sheer scope of the themes he discusses.</w:t>
      </w:r>
      <w:r w:rsidR="0011057E">
        <w:t xml:space="preserve"> Figuratively speaking, his work offers us a panoramic Mount Olympus view of our Western cultural history.</w:t>
      </w:r>
    </w:p>
    <w:p w14:paraId="22752E68" w14:textId="77777777" w:rsidR="00EF3A2F" w:rsidRPr="00EF3A2F" w:rsidRDefault="00EF3A2F" w:rsidP="000A0883">
      <w:pPr>
        <w:spacing w:line="480" w:lineRule="auto"/>
      </w:pPr>
    </w:p>
    <w:sectPr w:rsidR="00EF3A2F" w:rsidRPr="00EF3A2F">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6017A1" w14:textId="77777777" w:rsidR="001A7FF3" w:rsidRDefault="001A7FF3" w:rsidP="002455A2">
      <w:pPr>
        <w:spacing w:after="0" w:line="240" w:lineRule="auto"/>
      </w:pPr>
      <w:r>
        <w:separator/>
      </w:r>
    </w:p>
  </w:endnote>
  <w:endnote w:type="continuationSeparator" w:id="0">
    <w:p w14:paraId="75885474" w14:textId="77777777" w:rsidR="001A7FF3" w:rsidRDefault="001A7FF3" w:rsidP="002455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CB7D87" w14:textId="77777777" w:rsidR="002455A2" w:rsidRDefault="002455A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0765722"/>
      <w:docPartObj>
        <w:docPartGallery w:val="Page Numbers (Bottom of Page)"/>
        <w:docPartUnique/>
      </w:docPartObj>
    </w:sdtPr>
    <w:sdtEndPr>
      <w:rPr>
        <w:noProof/>
      </w:rPr>
    </w:sdtEndPr>
    <w:sdtContent>
      <w:p w14:paraId="639768B6" w14:textId="017177E0" w:rsidR="00132D7A" w:rsidRDefault="00132D7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986E0CB" w14:textId="77777777" w:rsidR="002455A2" w:rsidRDefault="002455A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994308" w14:textId="77777777" w:rsidR="002455A2" w:rsidRDefault="002455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8E962C" w14:textId="77777777" w:rsidR="001A7FF3" w:rsidRDefault="001A7FF3" w:rsidP="002455A2">
      <w:pPr>
        <w:spacing w:after="0" w:line="240" w:lineRule="auto"/>
      </w:pPr>
      <w:r>
        <w:separator/>
      </w:r>
    </w:p>
  </w:footnote>
  <w:footnote w:type="continuationSeparator" w:id="0">
    <w:p w14:paraId="326B8D02" w14:textId="77777777" w:rsidR="001A7FF3" w:rsidRDefault="001A7FF3" w:rsidP="002455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23E740" w14:textId="77777777" w:rsidR="002455A2" w:rsidRDefault="002455A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B216E3" w14:textId="77777777" w:rsidR="002455A2" w:rsidRDefault="002455A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59D472" w14:textId="77777777" w:rsidR="002455A2" w:rsidRDefault="002455A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BE6924"/>
    <w:multiLevelType w:val="hybridMultilevel"/>
    <w:tmpl w:val="C706E95C"/>
    <w:lvl w:ilvl="0" w:tplc="F05228C8">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7803461"/>
    <w:multiLevelType w:val="hybridMultilevel"/>
    <w:tmpl w:val="7098EFD0"/>
    <w:lvl w:ilvl="0" w:tplc="DFCC151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1AD56FD"/>
    <w:multiLevelType w:val="hybridMultilevel"/>
    <w:tmpl w:val="7A14D8B2"/>
    <w:lvl w:ilvl="0" w:tplc="A184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35643990">
    <w:abstractNumId w:val="0"/>
  </w:num>
  <w:num w:numId="2" w16cid:durableId="890460329">
    <w:abstractNumId w:val="2"/>
  </w:num>
  <w:num w:numId="3" w16cid:durableId="5933650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055D"/>
    <w:rsid w:val="00003021"/>
    <w:rsid w:val="00014D54"/>
    <w:rsid w:val="000155A6"/>
    <w:rsid w:val="00027246"/>
    <w:rsid w:val="000327E8"/>
    <w:rsid w:val="00037221"/>
    <w:rsid w:val="00037F66"/>
    <w:rsid w:val="00046ED8"/>
    <w:rsid w:val="00054BEE"/>
    <w:rsid w:val="000561B2"/>
    <w:rsid w:val="0005751D"/>
    <w:rsid w:val="00065296"/>
    <w:rsid w:val="00070AC1"/>
    <w:rsid w:val="00072695"/>
    <w:rsid w:val="0007450A"/>
    <w:rsid w:val="000778E0"/>
    <w:rsid w:val="000812C9"/>
    <w:rsid w:val="000846D6"/>
    <w:rsid w:val="000860D5"/>
    <w:rsid w:val="0008721E"/>
    <w:rsid w:val="000924FE"/>
    <w:rsid w:val="00092D39"/>
    <w:rsid w:val="00094EDB"/>
    <w:rsid w:val="00097108"/>
    <w:rsid w:val="000A0883"/>
    <w:rsid w:val="000A1518"/>
    <w:rsid w:val="000B19AF"/>
    <w:rsid w:val="000B4E16"/>
    <w:rsid w:val="000B7BCC"/>
    <w:rsid w:val="000B7C48"/>
    <w:rsid w:val="000C08A8"/>
    <w:rsid w:val="000D60B0"/>
    <w:rsid w:val="000E0628"/>
    <w:rsid w:val="000F0CBE"/>
    <w:rsid w:val="000F66C9"/>
    <w:rsid w:val="00107368"/>
    <w:rsid w:val="0011057E"/>
    <w:rsid w:val="00111773"/>
    <w:rsid w:val="00114A7D"/>
    <w:rsid w:val="0011688F"/>
    <w:rsid w:val="00121791"/>
    <w:rsid w:val="00132D7A"/>
    <w:rsid w:val="00164304"/>
    <w:rsid w:val="0017448F"/>
    <w:rsid w:val="0017683F"/>
    <w:rsid w:val="00180434"/>
    <w:rsid w:val="001806C0"/>
    <w:rsid w:val="0018153B"/>
    <w:rsid w:val="00185CC0"/>
    <w:rsid w:val="00185F01"/>
    <w:rsid w:val="00190671"/>
    <w:rsid w:val="00193BB8"/>
    <w:rsid w:val="001A4F07"/>
    <w:rsid w:val="001A5ACB"/>
    <w:rsid w:val="001A7FF3"/>
    <w:rsid w:val="001B741C"/>
    <w:rsid w:val="001C78D1"/>
    <w:rsid w:val="001D0B35"/>
    <w:rsid w:val="001E1AFC"/>
    <w:rsid w:val="001E2C82"/>
    <w:rsid w:val="001E4318"/>
    <w:rsid w:val="001F278D"/>
    <w:rsid w:val="001F40FD"/>
    <w:rsid w:val="00201A54"/>
    <w:rsid w:val="00204300"/>
    <w:rsid w:val="00205AC4"/>
    <w:rsid w:val="002111F8"/>
    <w:rsid w:val="00215BA9"/>
    <w:rsid w:val="00226BBB"/>
    <w:rsid w:val="00232AD2"/>
    <w:rsid w:val="002342C7"/>
    <w:rsid w:val="00244460"/>
    <w:rsid w:val="00244D8F"/>
    <w:rsid w:val="002455A2"/>
    <w:rsid w:val="00251F16"/>
    <w:rsid w:val="00252F66"/>
    <w:rsid w:val="002761DE"/>
    <w:rsid w:val="002976B7"/>
    <w:rsid w:val="002A4DD5"/>
    <w:rsid w:val="002A5F97"/>
    <w:rsid w:val="002B241A"/>
    <w:rsid w:val="002B59FD"/>
    <w:rsid w:val="002C6E28"/>
    <w:rsid w:val="002E4328"/>
    <w:rsid w:val="002E4C60"/>
    <w:rsid w:val="002E63CC"/>
    <w:rsid w:val="002F02A8"/>
    <w:rsid w:val="002F4191"/>
    <w:rsid w:val="00300B38"/>
    <w:rsid w:val="00305F17"/>
    <w:rsid w:val="00312054"/>
    <w:rsid w:val="003178FF"/>
    <w:rsid w:val="003201D1"/>
    <w:rsid w:val="003212AD"/>
    <w:rsid w:val="003268FD"/>
    <w:rsid w:val="00337E43"/>
    <w:rsid w:val="00340769"/>
    <w:rsid w:val="00341ABC"/>
    <w:rsid w:val="003460D1"/>
    <w:rsid w:val="003500C2"/>
    <w:rsid w:val="00354C65"/>
    <w:rsid w:val="003746B6"/>
    <w:rsid w:val="003809A5"/>
    <w:rsid w:val="003866C2"/>
    <w:rsid w:val="00390CE6"/>
    <w:rsid w:val="00396487"/>
    <w:rsid w:val="00397E76"/>
    <w:rsid w:val="003A32E4"/>
    <w:rsid w:val="003A7A9B"/>
    <w:rsid w:val="003B0BCD"/>
    <w:rsid w:val="003B1E2F"/>
    <w:rsid w:val="003B3DB2"/>
    <w:rsid w:val="003B5473"/>
    <w:rsid w:val="003C0F6B"/>
    <w:rsid w:val="003C16E5"/>
    <w:rsid w:val="003D2FE9"/>
    <w:rsid w:val="003D3399"/>
    <w:rsid w:val="003D4805"/>
    <w:rsid w:val="003E4B3C"/>
    <w:rsid w:val="003F1A5C"/>
    <w:rsid w:val="003F3B2C"/>
    <w:rsid w:val="00414282"/>
    <w:rsid w:val="004176D8"/>
    <w:rsid w:val="00424034"/>
    <w:rsid w:val="0042645A"/>
    <w:rsid w:val="00444D53"/>
    <w:rsid w:val="004517A2"/>
    <w:rsid w:val="0045226F"/>
    <w:rsid w:val="00456A03"/>
    <w:rsid w:val="00457943"/>
    <w:rsid w:val="00467DCB"/>
    <w:rsid w:val="00473FAD"/>
    <w:rsid w:val="00480633"/>
    <w:rsid w:val="004830B3"/>
    <w:rsid w:val="00487AF2"/>
    <w:rsid w:val="004970C1"/>
    <w:rsid w:val="004A2634"/>
    <w:rsid w:val="004A7F8F"/>
    <w:rsid w:val="004C0AB7"/>
    <w:rsid w:val="004C4D83"/>
    <w:rsid w:val="004C6369"/>
    <w:rsid w:val="004D13A6"/>
    <w:rsid w:val="004D1C9E"/>
    <w:rsid w:val="004F176D"/>
    <w:rsid w:val="004F5A1F"/>
    <w:rsid w:val="005133BE"/>
    <w:rsid w:val="00533250"/>
    <w:rsid w:val="005369EB"/>
    <w:rsid w:val="0053747D"/>
    <w:rsid w:val="005378E7"/>
    <w:rsid w:val="00540095"/>
    <w:rsid w:val="00541CBF"/>
    <w:rsid w:val="00541E5B"/>
    <w:rsid w:val="0054220A"/>
    <w:rsid w:val="00550172"/>
    <w:rsid w:val="0055062F"/>
    <w:rsid w:val="005520C8"/>
    <w:rsid w:val="00552D5A"/>
    <w:rsid w:val="0055301B"/>
    <w:rsid w:val="005565EE"/>
    <w:rsid w:val="00560984"/>
    <w:rsid w:val="005762EF"/>
    <w:rsid w:val="00580270"/>
    <w:rsid w:val="00581CC2"/>
    <w:rsid w:val="00582A9A"/>
    <w:rsid w:val="005852BA"/>
    <w:rsid w:val="00586F97"/>
    <w:rsid w:val="00592CAC"/>
    <w:rsid w:val="00595449"/>
    <w:rsid w:val="005959B8"/>
    <w:rsid w:val="005A6FFB"/>
    <w:rsid w:val="005B1952"/>
    <w:rsid w:val="005C2F78"/>
    <w:rsid w:val="005C4132"/>
    <w:rsid w:val="005D081A"/>
    <w:rsid w:val="005E0B12"/>
    <w:rsid w:val="005F22C8"/>
    <w:rsid w:val="00604A3B"/>
    <w:rsid w:val="00605136"/>
    <w:rsid w:val="0060691E"/>
    <w:rsid w:val="00611292"/>
    <w:rsid w:val="00613577"/>
    <w:rsid w:val="006167D3"/>
    <w:rsid w:val="006171DC"/>
    <w:rsid w:val="00635CE7"/>
    <w:rsid w:val="00636D83"/>
    <w:rsid w:val="0064516C"/>
    <w:rsid w:val="00651531"/>
    <w:rsid w:val="006516D0"/>
    <w:rsid w:val="00651F90"/>
    <w:rsid w:val="006539E2"/>
    <w:rsid w:val="00664CA2"/>
    <w:rsid w:val="00665542"/>
    <w:rsid w:val="0068434A"/>
    <w:rsid w:val="006878B1"/>
    <w:rsid w:val="00691C71"/>
    <w:rsid w:val="00692CDE"/>
    <w:rsid w:val="00696A19"/>
    <w:rsid w:val="006A07C0"/>
    <w:rsid w:val="006B3B19"/>
    <w:rsid w:val="006B7E3E"/>
    <w:rsid w:val="006C259D"/>
    <w:rsid w:val="006C419D"/>
    <w:rsid w:val="006C58BE"/>
    <w:rsid w:val="006D0C1C"/>
    <w:rsid w:val="006D34A4"/>
    <w:rsid w:val="006D43D0"/>
    <w:rsid w:val="006D65EE"/>
    <w:rsid w:val="006E3F90"/>
    <w:rsid w:val="006E4698"/>
    <w:rsid w:val="006E697A"/>
    <w:rsid w:val="006E733C"/>
    <w:rsid w:val="0070055D"/>
    <w:rsid w:val="00701653"/>
    <w:rsid w:val="0070269F"/>
    <w:rsid w:val="0071227A"/>
    <w:rsid w:val="007207E4"/>
    <w:rsid w:val="007236FC"/>
    <w:rsid w:val="00724306"/>
    <w:rsid w:val="0072657E"/>
    <w:rsid w:val="0073599B"/>
    <w:rsid w:val="007364E0"/>
    <w:rsid w:val="00741D8D"/>
    <w:rsid w:val="00743973"/>
    <w:rsid w:val="00745532"/>
    <w:rsid w:val="00746780"/>
    <w:rsid w:val="00747E58"/>
    <w:rsid w:val="0075439D"/>
    <w:rsid w:val="007669ED"/>
    <w:rsid w:val="007710B4"/>
    <w:rsid w:val="007751D0"/>
    <w:rsid w:val="007918B0"/>
    <w:rsid w:val="00796746"/>
    <w:rsid w:val="00796AFB"/>
    <w:rsid w:val="007A2F4D"/>
    <w:rsid w:val="007A3C13"/>
    <w:rsid w:val="007A58BE"/>
    <w:rsid w:val="007A5964"/>
    <w:rsid w:val="007A5E52"/>
    <w:rsid w:val="007A6BDF"/>
    <w:rsid w:val="007B118D"/>
    <w:rsid w:val="007B2E33"/>
    <w:rsid w:val="007B4BCD"/>
    <w:rsid w:val="007C1672"/>
    <w:rsid w:val="007C5430"/>
    <w:rsid w:val="007C5590"/>
    <w:rsid w:val="007C7B9C"/>
    <w:rsid w:val="007D1243"/>
    <w:rsid w:val="007E11B2"/>
    <w:rsid w:val="007F74F2"/>
    <w:rsid w:val="00821472"/>
    <w:rsid w:val="0082466A"/>
    <w:rsid w:val="00834B96"/>
    <w:rsid w:val="008401CF"/>
    <w:rsid w:val="008439BB"/>
    <w:rsid w:val="00846EC6"/>
    <w:rsid w:val="00846FF8"/>
    <w:rsid w:val="00847EE2"/>
    <w:rsid w:val="00855C2C"/>
    <w:rsid w:val="00861FBB"/>
    <w:rsid w:val="008863FA"/>
    <w:rsid w:val="00891E03"/>
    <w:rsid w:val="008937C3"/>
    <w:rsid w:val="00895CA8"/>
    <w:rsid w:val="008A3FDE"/>
    <w:rsid w:val="008A5D4F"/>
    <w:rsid w:val="008B0842"/>
    <w:rsid w:val="008B198F"/>
    <w:rsid w:val="008B765F"/>
    <w:rsid w:val="008C6FAA"/>
    <w:rsid w:val="008E405C"/>
    <w:rsid w:val="008E4665"/>
    <w:rsid w:val="008F0FBE"/>
    <w:rsid w:val="008F3B7F"/>
    <w:rsid w:val="008F3BC1"/>
    <w:rsid w:val="009103BA"/>
    <w:rsid w:val="00910FD4"/>
    <w:rsid w:val="009118E2"/>
    <w:rsid w:val="00915FC2"/>
    <w:rsid w:val="0092744D"/>
    <w:rsid w:val="00934305"/>
    <w:rsid w:val="009475E9"/>
    <w:rsid w:val="009511B6"/>
    <w:rsid w:val="00951A4E"/>
    <w:rsid w:val="00956B9B"/>
    <w:rsid w:val="00961781"/>
    <w:rsid w:val="009633BD"/>
    <w:rsid w:val="00964CB0"/>
    <w:rsid w:val="00965368"/>
    <w:rsid w:val="009720C0"/>
    <w:rsid w:val="00972A97"/>
    <w:rsid w:val="009773C1"/>
    <w:rsid w:val="009850FB"/>
    <w:rsid w:val="009918EA"/>
    <w:rsid w:val="009935A5"/>
    <w:rsid w:val="009A284C"/>
    <w:rsid w:val="009A4AB8"/>
    <w:rsid w:val="009A5E40"/>
    <w:rsid w:val="009A7D2B"/>
    <w:rsid w:val="009B4B11"/>
    <w:rsid w:val="009C73F7"/>
    <w:rsid w:val="009D0DEB"/>
    <w:rsid w:val="009D5308"/>
    <w:rsid w:val="009E0448"/>
    <w:rsid w:val="009F0750"/>
    <w:rsid w:val="009F4B56"/>
    <w:rsid w:val="009F533A"/>
    <w:rsid w:val="009F66E1"/>
    <w:rsid w:val="00A02981"/>
    <w:rsid w:val="00A06625"/>
    <w:rsid w:val="00A107E3"/>
    <w:rsid w:val="00A129AB"/>
    <w:rsid w:val="00A1350A"/>
    <w:rsid w:val="00A13EFE"/>
    <w:rsid w:val="00A22873"/>
    <w:rsid w:val="00A25F1F"/>
    <w:rsid w:val="00A51C3D"/>
    <w:rsid w:val="00A67D73"/>
    <w:rsid w:val="00A75B3C"/>
    <w:rsid w:val="00A87114"/>
    <w:rsid w:val="00A96C52"/>
    <w:rsid w:val="00A97796"/>
    <w:rsid w:val="00AA15B7"/>
    <w:rsid w:val="00AA2300"/>
    <w:rsid w:val="00AB6DEB"/>
    <w:rsid w:val="00AC20AE"/>
    <w:rsid w:val="00AC4968"/>
    <w:rsid w:val="00AC78DD"/>
    <w:rsid w:val="00AC7D36"/>
    <w:rsid w:val="00AE5FD4"/>
    <w:rsid w:val="00AF0058"/>
    <w:rsid w:val="00AF017C"/>
    <w:rsid w:val="00AF1233"/>
    <w:rsid w:val="00AF6597"/>
    <w:rsid w:val="00B00837"/>
    <w:rsid w:val="00B049D2"/>
    <w:rsid w:val="00B14495"/>
    <w:rsid w:val="00B2293E"/>
    <w:rsid w:val="00B31AE2"/>
    <w:rsid w:val="00B3404C"/>
    <w:rsid w:val="00B41FFD"/>
    <w:rsid w:val="00B514B3"/>
    <w:rsid w:val="00B65FAD"/>
    <w:rsid w:val="00B73216"/>
    <w:rsid w:val="00B743C6"/>
    <w:rsid w:val="00B745B5"/>
    <w:rsid w:val="00B77BF0"/>
    <w:rsid w:val="00B84648"/>
    <w:rsid w:val="00B933E4"/>
    <w:rsid w:val="00B95AF5"/>
    <w:rsid w:val="00B97DC0"/>
    <w:rsid w:val="00BB029D"/>
    <w:rsid w:val="00BB0963"/>
    <w:rsid w:val="00BC701D"/>
    <w:rsid w:val="00BD1DDE"/>
    <w:rsid w:val="00BD6BA5"/>
    <w:rsid w:val="00BE1DB7"/>
    <w:rsid w:val="00BE352E"/>
    <w:rsid w:val="00BE37E4"/>
    <w:rsid w:val="00BF246A"/>
    <w:rsid w:val="00C00328"/>
    <w:rsid w:val="00C0064C"/>
    <w:rsid w:val="00C02ED9"/>
    <w:rsid w:val="00C0322C"/>
    <w:rsid w:val="00C10847"/>
    <w:rsid w:val="00C15F9E"/>
    <w:rsid w:val="00C26B23"/>
    <w:rsid w:val="00C34C52"/>
    <w:rsid w:val="00C44027"/>
    <w:rsid w:val="00C453B1"/>
    <w:rsid w:val="00C4634A"/>
    <w:rsid w:val="00C47B14"/>
    <w:rsid w:val="00C53393"/>
    <w:rsid w:val="00C549E8"/>
    <w:rsid w:val="00C57379"/>
    <w:rsid w:val="00C707E1"/>
    <w:rsid w:val="00C713D5"/>
    <w:rsid w:val="00C82F8E"/>
    <w:rsid w:val="00C90B96"/>
    <w:rsid w:val="00C97477"/>
    <w:rsid w:val="00CA5670"/>
    <w:rsid w:val="00CB7910"/>
    <w:rsid w:val="00CC1C27"/>
    <w:rsid w:val="00CD1F34"/>
    <w:rsid w:val="00CD3E1F"/>
    <w:rsid w:val="00CD6096"/>
    <w:rsid w:val="00CE30B3"/>
    <w:rsid w:val="00CE3DFC"/>
    <w:rsid w:val="00CE669F"/>
    <w:rsid w:val="00CE675C"/>
    <w:rsid w:val="00CE728E"/>
    <w:rsid w:val="00CE7ED0"/>
    <w:rsid w:val="00CF0CDE"/>
    <w:rsid w:val="00CF1D34"/>
    <w:rsid w:val="00CF5D4C"/>
    <w:rsid w:val="00D00260"/>
    <w:rsid w:val="00D0289E"/>
    <w:rsid w:val="00D02F00"/>
    <w:rsid w:val="00D02FF1"/>
    <w:rsid w:val="00D067E9"/>
    <w:rsid w:val="00D10330"/>
    <w:rsid w:val="00D11BB1"/>
    <w:rsid w:val="00D22051"/>
    <w:rsid w:val="00D231A5"/>
    <w:rsid w:val="00D26D5D"/>
    <w:rsid w:val="00D27A4A"/>
    <w:rsid w:val="00D3105B"/>
    <w:rsid w:val="00D41E61"/>
    <w:rsid w:val="00D47312"/>
    <w:rsid w:val="00D539D9"/>
    <w:rsid w:val="00D54C91"/>
    <w:rsid w:val="00D61421"/>
    <w:rsid w:val="00D6301C"/>
    <w:rsid w:val="00D668E3"/>
    <w:rsid w:val="00D66CC0"/>
    <w:rsid w:val="00D67C0C"/>
    <w:rsid w:val="00D81CB6"/>
    <w:rsid w:val="00D84E2E"/>
    <w:rsid w:val="00DA0245"/>
    <w:rsid w:val="00DC1FE6"/>
    <w:rsid w:val="00DC2A44"/>
    <w:rsid w:val="00DC372A"/>
    <w:rsid w:val="00DD16C8"/>
    <w:rsid w:val="00DD249F"/>
    <w:rsid w:val="00DE0805"/>
    <w:rsid w:val="00DF1EAD"/>
    <w:rsid w:val="00DF5BF7"/>
    <w:rsid w:val="00E032DB"/>
    <w:rsid w:val="00E04CA2"/>
    <w:rsid w:val="00E057C2"/>
    <w:rsid w:val="00E114FC"/>
    <w:rsid w:val="00E13D9F"/>
    <w:rsid w:val="00E21405"/>
    <w:rsid w:val="00E2298B"/>
    <w:rsid w:val="00E3283C"/>
    <w:rsid w:val="00E3361F"/>
    <w:rsid w:val="00E336BE"/>
    <w:rsid w:val="00E346E7"/>
    <w:rsid w:val="00E3477C"/>
    <w:rsid w:val="00E40E0F"/>
    <w:rsid w:val="00E41F44"/>
    <w:rsid w:val="00E45194"/>
    <w:rsid w:val="00E739BE"/>
    <w:rsid w:val="00E73CFB"/>
    <w:rsid w:val="00E75DAB"/>
    <w:rsid w:val="00E764FB"/>
    <w:rsid w:val="00E82029"/>
    <w:rsid w:val="00E86607"/>
    <w:rsid w:val="00EB3023"/>
    <w:rsid w:val="00EC6D9B"/>
    <w:rsid w:val="00ED0057"/>
    <w:rsid w:val="00ED1047"/>
    <w:rsid w:val="00ED7602"/>
    <w:rsid w:val="00EE2035"/>
    <w:rsid w:val="00EE27C5"/>
    <w:rsid w:val="00EE2A2C"/>
    <w:rsid w:val="00EF12AB"/>
    <w:rsid w:val="00EF3A2F"/>
    <w:rsid w:val="00EF5793"/>
    <w:rsid w:val="00F00E24"/>
    <w:rsid w:val="00F1460A"/>
    <w:rsid w:val="00F17677"/>
    <w:rsid w:val="00F22939"/>
    <w:rsid w:val="00F23B4B"/>
    <w:rsid w:val="00F351B9"/>
    <w:rsid w:val="00F401EA"/>
    <w:rsid w:val="00F42B70"/>
    <w:rsid w:val="00F43923"/>
    <w:rsid w:val="00F445BD"/>
    <w:rsid w:val="00F64D20"/>
    <w:rsid w:val="00F869FB"/>
    <w:rsid w:val="00F92AC9"/>
    <w:rsid w:val="00F92DE0"/>
    <w:rsid w:val="00F95AFD"/>
    <w:rsid w:val="00FA2667"/>
    <w:rsid w:val="00FA2926"/>
    <w:rsid w:val="00FB1E6B"/>
    <w:rsid w:val="00FC6022"/>
    <w:rsid w:val="00FC6DBC"/>
    <w:rsid w:val="00FD7386"/>
    <w:rsid w:val="00FE3C31"/>
    <w:rsid w:val="00FE7716"/>
    <w:rsid w:val="00FF15CC"/>
    <w:rsid w:val="00FF77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DF537"/>
  <w15:chartTrackingRefBased/>
  <w15:docId w15:val="{D49E69B0-5F14-4957-915E-1E1AC7A60E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B0BCD"/>
    <w:pPr>
      <w:ind w:left="720"/>
      <w:contextualSpacing/>
    </w:pPr>
  </w:style>
  <w:style w:type="character" w:styleId="Hyperlink">
    <w:name w:val="Hyperlink"/>
    <w:basedOn w:val="DefaultParagraphFont"/>
    <w:unhideWhenUsed/>
    <w:rsid w:val="00E764FB"/>
    <w:rPr>
      <w:color w:val="0563C1" w:themeColor="hyperlink"/>
      <w:u w:val="single"/>
    </w:rPr>
  </w:style>
  <w:style w:type="character" w:styleId="Mention">
    <w:name w:val="Mention"/>
    <w:basedOn w:val="DefaultParagraphFont"/>
    <w:uiPriority w:val="99"/>
    <w:semiHidden/>
    <w:unhideWhenUsed/>
    <w:rsid w:val="00E764FB"/>
    <w:rPr>
      <w:color w:val="2B579A"/>
      <w:shd w:val="clear" w:color="auto" w:fill="E6E6E6"/>
    </w:rPr>
  </w:style>
  <w:style w:type="character" w:styleId="UnresolvedMention">
    <w:name w:val="Unresolved Mention"/>
    <w:basedOn w:val="DefaultParagraphFont"/>
    <w:uiPriority w:val="99"/>
    <w:semiHidden/>
    <w:unhideWhenUsed/>
    <w:rsid w:val="00480633"/>
    <w:rPr>
      <w:color w:val="808080"/>
      <w:shd w:val="clear" w:color="auto" w:fill="E6E6E6"/>
    </w:rPr>
  </w:style>
  <w:style w:type="character" w:styleId="FollowedHyperlink">
    <w:name w:val="FollowedHyperlink"/>
    <w:basedOn w:val="DefaultParagraphFont"/>
    <w:uiPriority w:val="99"/>
    <w:semiHidden/>
    <w:unhideWhenUsed/>
    <w:rsid w:val="00226BBB"/>
    <w:rPr>
      <w:color w:val="954F72" w:themeColor="followedHyperlink"/>
      <w:u w:val="single"/>
    </w:rPr>
  </w:style>
  <w:style w:type="paragraph" w:styleId="Header">
    <w:name w:val="header"/>
    <w:basedOn w:val="Normal"/>
    <w:link w:val="HeaderChar"/>
    <w:uiPriority w:val="99"/>
    <w:unhideWhenUsed/>
    <w:rsid w:val="002455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55A2"/>
  </w:style>
  <w:style w:type="paragraph" w:styleId="Footer">
    <w:name w:val="footer"/>
    <w:basedOn w:val="Normal"/>
    <w:link w:val="FooterChar"/>
    <w:uiPriority w:val="99"/>
    <w:unhideWhenUsed/>
    <w:rsid w:val="002455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55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farrell@d.umn.edu"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d.umn.edu/~tfarrell"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opednews.com/articles/Walter-J-Ong-s-Philosophi-by-Thomas-Farrell-Communication_Communications_Communications_Consciousness-200920-664.html"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26</Pages>
  <Words>6689</Words>
  <Characters>38133</Characters>
  <Application>Microsoft Office Word</Application>
  <DocSecurity>0</DocSecurity>
  <Lines>317</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Thomas Farrell</cp:lastModifiedBy>
  <cp:revision>12</cp:revision>
  <cp:lastPrinted>2023-02-21T13:30:00Z</cp:lastPrinted>
  <dcterms:created xsi:type="dcterms:W3CDTF">2023-02-23T22:18:00Z</dcterms:created>
  <dcterms:modified xsi:type="dcterms:W3CDTF">2023-02-24T09:24:00Z</dcterms:modified>
</cp:coreProperties>
</file>