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DC0495" w14:textId="4635373C" w:rsidR="002E0B68" w:rsidRDefault="00544FCE" w:rsidP="00544FCE">
      <w:pPr>
        <w:jc w:val="center"/>
      </w:pPr>
      <w:r>
        <w:rPr>
          <w:b/>
          <w:bCs/>
        </w:rPr>
        <w:t xml:space="preserve">Phil Huston’s 2007 Book </w:t>
      </w:r>
      <w:r>
        <w:rPr>
          <w:b/>
          <w:bCs/>
          <w:i/>
          <w:iCs/>
        </w:rPr>
        <w:t>Martin Buber’s Journey to Presence</w:t>
      </w:r>
      <w:r>
        <w:rPr>
          <w:b/>
          <w:bCs/>
        </w:rPr>
        <w:t xml:space="preserve"> and Walter J. Ong’s Thought</w:t>
      </w:r>
    </w:p>
    <w:p w14:paraId="0294D590" w14:textId="22D1A3D8" w:rsidR="00544FCE" w:rsidRDefault="00544FCE" w:rsidP="00544FCE">
      <w:pPr>
        <w:jc w:val="center"/>
      </w:pPr>
    </w:p>
    <w:p w14:paraId="5F876797" w14:textId="6E6B08DC" w:rsidR="00544FCE" w:rsidRDefault="00544FCE" w:rsidP="00544FCE">
      <w:pPr>
        <w:jc w:val="center"/>
      </w:pPr>
      <w:r>
        <w:rPr>
          <w:b/>
          <w:bCs/>
        </w:rPr>
        <w:t>Thomas J. Farrell</w:t>
      </w:r>
    </w:p>
    <w:p w14:paraId="1B3FE1ED" w14:textId="09B79FE2" w:rsidR="00544FCE" w:rsidRDefault="00544FCE" w:rsidP="00544FCE">
      <w:pPr>
        <w:jc w:val="center"/>
      </w:pPr>
      <w:r>
        <w:rPr>
          <w:b/>
          <w:bCs/>
        </w:rPr>
        <w:t>Professor Emeritus in Writing Studies</w:t>
      </w:r>
    </w:p>
    <w:p w14:paraId="647D5F71" w14:textId="2E88056D" w:rsidR="00544FCE" w:rsidRDefault="00544FCE" w:rsidP="00544FCE">
      <w:pPr>
        <w:jc w:val="center"/>
      </w:pPr>
      <w:r>
        <w:rPr>
          <w:b/>
          <w:bCs/>
        </w:rPr>
        <w:t>University of Minnesota Duluth</w:t>
      </w:r>
    </w:p>
    <w:p w14:paraId="3344EE9B" w14:textId="664E76EE" w:rsidR="00544FCE" w:rsidRDefault="00544FCE" w:rsidP="00544FCE">
      <w:pPr>
        <w:jc w:val="center"/>
      </w:pPr>
      <w:r>
        <w:rPr>
          <w:b/>
          <w:bCs/>
        </w:rPr>
        <w:t xml:space="preserve">Web: </w:t>
      </w:r>
      <w:hyperlink r:id="rId4" w:history="1">
        <w:r w:rsidRPr="008060E8">
          <w:rPr>
            <w:rStyle w:val="Hyperlink"/>
            <w:b/>
            <w:bCs/>
          </w:rPr>
          <w:t>http://www.d.emn.edu/~tfarrell</w:t>
        </w:r>
      </w:hyperlink>
    </w:p>
    <w:p w14:paraId="0FFF26D5" w14:textId="141467A1" w:rsidR="00544FCE" w:rsidRDefault="00544FCE" w:rsidP="00544FCE">
      <w:pPr>
        <w:jc w:val="center"/>
      </w:pPr>
      <w:r>
        <w:rPr>
          <w:b/>
          <w:bCs/>
        </w:rPr>
        <w:t xml:space="preserve">Email: </w:t>
      </w:r>
      <w:hyperlink r:id="rId5" w:history="1">
        <w:r w:rsidRPr="008060E8">
          <w:rPr>
            <w:rStyle w:val="Hyperlink"/>
            <w:b/>
            <w:bCs/>
          </w:rPr>
          <w:t>tfarrell@d.umn.edu</w:t>
        </w:r>
      </w:hyperlink>
    </w:p>
    <w:p w14:paraId="64BC26AD" w14:textId="77777777" w:rsidR="00544FCE" w:rsidRPr="00544FCE" w:rsidRDefault="00544FCE" w:rsidP="00544FCE">
      <w:pPr>
        <w:jc w:val="center"/>
      </w:pPr>
    </w:p>
    <w:p w14:paraId="76CA2CA9" w14:textId="77777777" w:rsidR="00544FCE" w:rsidRPr="00544FCE" w:rsidRDefault="00544FCE" w:rsidP="00544FCE">
      <w:pPr>
        <w:jc w:val="center"/>
      </w:pPr>
    </w:p>
    <w:p w14:paraId="3C75B173" w14:textId="1EE0D574" w:rsidR="00D46911" w:rsidRDefault="00D46911">
      <w:r>
        <w:t>The Irish scholar</w:t>
      </w:r>
      <w:r w:rsidR="00E45607">
        <w:t xml:space="preserve"> Phil Huston’s</w:t>
      </w:r>
      <w:r w:rsidR="00C675BC">
        <w:t xml:space="preserve"> carefully written</w:t>
      </w:r>
      <w:r w:rsidR="00E45607">
        <w:t xml:space="preserve"> book </w:t>
      </w:r>
      <w:r w:rsidR="00632278">
        <w:rPr>
          <w:i/>
          <w:iCs/>
        </w:rPr>
        <w:t>Martin Buber’s Journey to Presence</w:t>
      </w:r>
      <w:r w:rsidR="00632278">
        <w:t xml:space="preserve"> (Fordham University Press, 2007)</w:t>
      </w:r>
      <w:r>
        <w:t xml:space="preserve"> is worth pondering carefully</w:t>
      </w:r>
      <w:r w:rsidR="00632278">
        <w:t>.</w:t>
      </w:r>
      <w:r w:rsidR="00482F15">
        <w:t xml:space="preserve"> Arguably one of the most famous journey narratives in Western culture is the Homeric epic the </w:t>
      </w:r>
      <w:r w:rsidR="009F4943">
        <w:rPr>
          <w:i/>
          <w:iCs/>
        </w:rPr>
        <w:t>Odyssey</w:t>
      </w:r>
      <w:r w:rsidR="009F4943">
        <w:t>. In it, Odysseus is portrayed as a man whose mind characteristically involves many turnings. Huston uses the journey imagery as she recounts</w:t>
      </w:r>
      <w:r w:rsidR="00B05368">
        <w:t>, in roughly chronological order,</w:t>
      </w:r>
      <w:r w:rsidR="009F4943">
        <w:t xml:space="preserve"> Buber’s many intellectual turnings throughout his long and productive life.</w:t>
      </w:r>
      <w:r w:rsidR="004E532A">
        <w:t xml:space="preserve"> His turnings are so significant that we need to pay careful attention to the dates of all of his publications, including his posthumously published letters.</w:t>
      </w:r>
    </w:p>
    <w:p w14:paraId="75A12A2C" w14:textId="42DBDAB6" w:rsidR="004E532A" w:rsidRDefault="005A3BAE" w:rsidP="004E532A">
      <w:r>
        <w:t>Now, my favorite scholar is the American Jesuit Renaissance specialist and cultural historian Walter J. Ong (1912-2003; Ph.D. in English, Harvard University, 1955). In the early 1950s, when he was working on his massively researched doctoral dissertation, he had a breakthrough insight. He subsequently never tired of writing about his insight.</w:t>
      </w:r>
      <w:r w:rsidR="004E532A">
        <w:t xml:space="preserve"> However, his life journey prior to his breakthrough insight in the early 1950s did not involve as many intellectual turnings as Buber’s life journey did prior to his breakthrough insight in his famous 1923 book </w:t>
      </w:r>
      <w:r w:rsidR="004E532A">
        <w:rPr>
          <w:i/>
          <w:iCs/>
        </w:rPr>
        <w:t>I and Thou</w:t>
      </w:r>
      <w:r w:rsidR="004E532A">
        <w:t>, 2nd ed., translated by Ronald Gregor Smith (Charles Scribner’s Sons, 1958).</w:t>
      </w:r>
    </w:p>
    <w:p w14:paraId="47941CAC" w14:textId="3929EBA3" w:rsidR="005A3BAE" w:rsidRDefault="005A3BAE" w:rsidP="005A3BAE">
      <w:r>
        <w:t>I mention</w:t>
      </w:r>
      <w:r w:rsidR="004E532A">
        <w:t xml:space="preserve"> here</w:t>
      </w:r>
      <w:r>
        <w:t xml:space="preserve"> </w:t>
      </w:r>
      <w:r w:rsidR="004E532A">
        <w:t xml:space="preserve">Ong’s breakthrough </w:t>
      </w:r>
      <w:r>
        <w:t>insight</w:t>
      </w:r>
      <w:r w:rsidR="004E532A">
        <w:t xml:space="preserve"> that informs his mature writings from the early 1950s onward</w:t>
      </w:r>
      <w:r>
        <w:t xml:space="preserve"> to say that Buber</w:t>
      </w:r>
      <w:r w:rsidR="004E532A">
        <w:t>’s</w:t>
      </w:r>
      <w:r w:rsidR="00561FF0">
        <w:t xml:space="preserve"> breakthrough insight </w:t>
      </w:r>
      <w:r w:rsidR="004E532A">
        <w:t xml:space="preserve">informs </w:t>
      </w:r>
      <w:r w:rsidR="009654F7">
        <w:t xml:space="preserve">his mature writings </w:t>
      </w:r>
      <w:r w:rsidR="00561FF0">
        <w:t>working out further his philosophy of dialogue</w:t>
      </w:r>
      <w:r w:rsidR="00D764A2">
        <w:t>.</w:t>
      </w:r>
      <w:r w:rsidR="009654F7">
        <w:t xml:space="preserve"> In a nutshell, Buber’s breakthrough insight </w:t>
      </w:r>
      <w:r w:rsidR="00997139">
        <w:t>is that “‘the I-Thou relation to God and the I-Thou relation to one’s fellow man are at bottom related to each other’” (quoted from Buber by Huston on page 238, note 32).</w:t>
      </w:r>
    </w:p>
    <w:p w14:paraId="1841A023" w14:textId="542A308F" w:rsidR="00997139" w:rsidRPr="00997139" w:rsidRDefault="00997139" w:rsidP="005A3BAE">
      <w:r>
        <w:t xml:space="preserve">Huston’s reference here is to </w:t>
      </w:r>
      <w:r>
        <w:rPr>
          <w:i/>
          <w:iCs/>
        </w:rPr>
        <w:t>Philosophical Interrogations</w:t>
      </w:r>
      <w:r>
        <w:t>, edited by</w:t>
      </w:r>
      <w:r w:rsidR="00BE0E0C">
        <w:t xml:space="preserve"> S. Rome and B. Rome (Holt, Rinehart and Winston, 1964,</w:t>
      </w:r>
      <w:r>
        <w:t xml:space="preserve"> page 99</w:t>
      </w:r>
      <w:r w:rsidR="00BE0E0C">
        <w:t>; Maurice Friedman conducted the interrogation of Buber).</w:t>
      </w:r>
    </w:p>
    <w:p w14:paraId="4BAF6673" w14:textId="6B5B9CDB" w:rsidR="00032A6A" w:rsidRPr="00561FF0" w:rsidRDefault="00032A6A" w:rsidP="005A3BAE">
      <w:r>
        <w:t>In Huston’s introduction (pages ix-xiv), she says, referring to Buber’s 1922 “Religion as Presence” lectures, “Acceptance of God as the Eternal Thou is as important today as it was in 1945 when Buber wrote: ‘And it would seem to me, indeed, that in this hour of history the crucial thing is not to possess a fixed doctrine, but rather to recognize eternal reality and out of its depth to be able to face the reality of the present’” (page xiii).</w:t>
      </w:r>
    </w:p>
    <w:p w14:paraId="592EB72A" w14:textId="16D90CE9" w:rsidR="005A3BAE" w:rsidRDefault="009D4A68">
      <w:r>
        <w:t>Over the centuries, the Christian tradition has been involved in formulating various seeming</w:t>
      </w:r>
      <w:r w:rsidR="006D3B91">
        <w:t>ly</w:t>
      </w:r>
      <w:r>
        <w:t xml:space="preserve"> fixed, at least temporarily, creeds and doctrines. However, Ong borrows a distinction that French Catholic </w:t>
      </w:r>
      <w:r>
        <w:lastRenderedPageBreak/>
        <w:t>existentialist and playwright Gabriel Marcel makes between belief “that” (a proposition in a creed or a doctrine is true) and belief “in” (a person – for example, in God and Jesus the Christ). Belief “in” a person is, in effect, comparable to what Buber means by recognizing the Eternal Thou.</w:t>
      </w:r>
    </w:p>
    <w:p w14:paraId="31022A93" w14:textId="2FA28352" w:rsidR="00D764A2" w:rsidRDefault="009D4A68" w:rsidP="00D764A2">
      <w:r>
        <w:t xml:space="preserve">See Ong’s essay </w:t>
      </w:r>
      <w:r w:rsidR="00D14733">
        <w:t xml:space="preserve">“Voice as Summons for Belief: Literature, Faith, and the Divided Self” in the now-defunct Jesuit-sponsored journal </w:t>
      </w:r>
      <w:r w:rsidR="00D14733">
        <w:rPr>
          <w:i/>
          <w:iCs/>
        </w:rPr>
        <w:t>Thought: A Review of Culture and Idea</w:t>
      </w:r>
      <w:r w:rsidR="00D14733">
        <w:t xml:space="preserve"> (Fordham University), volume 33 (Spring 1958): pages 43-61; reprinted in Ong’s book </w:t>
      </w:r>
      <w:r w:rsidR="00D764A2">
        <w:rPr>
          <w:i/>
          <w:iCs/>
        </w:rPr>
        <w:t>The Barbarian Within: And Other Fugitive Essays and Studies</w:t>
      </w:r>
      <w:r w:rsidR="00D764A2">
        <w:t xml:space="preserve"> (Macmillan, 1962, pages 49-67); also reprinted in volume two of Ong’s </w:t>
      </w:r>
      <w:r w:rsidR="00D764A2">
        <w:rPr>
          <w:i/>
          <w:iCs/>
        </w:rPr>
        <w:t>Faith and Contexts</w:t>
      </w:r>
      <w:r w:rsidR="00C8336B">
        <w:t>, edited by me and Paul A. Soukup</w:t>
      </w:r>
      <w:r w:rsidR="00D764A2">
        <w:t xml:space="preserve"> (Scholars Press, 1992b, pages 68-94); also reprinted in </w:t>
      </w:r>
      <w:r w:rsidR="00D764A2">
        <w:rPr>
          <w:i/>
          <w:iCs/>
        </w:rPr>
        <w:t>An Ong Reader: Challenges for Further Inquiry</w:t>
      </w:r>
      <w:r w:rsidR="00C8336B">
        <w:t>, edited by me and Paul A. Soukup</w:t>
      </w:r>
      <w:r w:rsidR="00D764A2">
        <w:t xml:space="preserve"> (Hampton Press, 2002, pages 259-275).</w:t>
      </w:r>
      <w:r w:rsidR="00D764A2" w:rsidRPr="00D764A2">
        <w:t xml:space="preserve"> </w:t>
      </w:r>
      <w:r w:rsidR="00D764A2">
        <w:t>(I discuss Ong further below.)</w:t>
      </w:r>
    </w:p>
    <w:p w14:paraId="1004C5A8" w14:textId="14826063" w:rsidR="00FC046A" w:rsidRDefault="006D3B91">
      <w:r>
        <w:t>Now, i</w:t>
      </w:r>
      <w:r w:rsidR="00E63644">
        <w:t>n Huston’s roughly chronological account of Buber’s life, she tells us about Buber as a precocious teenager:</w:t>
      </w:r>
      <w:r w:rsidR="00072F8B">
        <w:t xml:space="preserve"> Later in his life, Buber revealed that at the age of fourteen he had a certain crisis in which he thought about suicide and that at the age of fifteen he found salvation from that crisis in Kant’s </w:t>
      </w:r>
      <w:r w:rsidR="00072F8B">
        <w:rPr>
          <w:i/>
          <w:iCs/>
        </w:rPr>
        <w:t>Prolegomena to Any Future Metaphysics</w:t>
      </w:r>
      <w:r w:rsidR="00072F8B">
        <w:t xml:space="preserve"> (Huston, pages 10-11). Huston says, </w:t>
      </w:r>
      <w:r w:rsidR="00E63644">
        <w:t>“Two years after the encounter with Kant, in his [Buber’s] seventeenth year</w:t>
      </w:r>
      <w:r w:rsidR="00FC046A">
        <w:t xml:space="preserve">, Nietzsche’s </w:t>
      </w:r>
      <w:r w:rsidR="00FC046A">
        <w:rPr>
          <w:i/>
          <w:iCs/>
        </w:rPr>
        <w:t>Thus Spake Zarathustra</w:t>
      </w:r>
      <w:r w:rsidR="00FC046A">
        <w:t xml:space="preserve"> took possession of him” (page 12).</w:t>
      </w:r>
      <w:r w:rsidR="00072F8B">
        <w:t xml:space="preserve"> Her way of wording this here is not hyperbolic.</w:t>
      </w:r>
      <w:r w:rsidR="00C149C4">
        <w:t xml:space="preserve"> Figuratively speaking, we might liken young Buber’s possession to Odysseus’ captivity on Calypso’s island. </w:t>
      </w:r>
    </w:p>
    <w:p w14:paraId="027A3FF9" w14:textId="77777777" w:rsidR="00B507E7" w:rsidRDefault="00751D7C" w:rsidP="00751D7C">
      <w:r>
        <w:t>As Buber himself recognized as an adult, his mother’s abandonment of him without a word</w:t>
      </w:r>
      <w:r w:rsidR="00C149C4">
        <w:t xml:space="preserve"> to him</w:t>
      </w:r>
      <w:r>
        <w:t xml:space="preserve"> when he was three had a devastating psychological impact on him</w:t>
      </w:r>
      <w:r w:rsidR="009A5746">
        <w:t xml:space="preserve"> (Huston, pages x, 1-4, 53, 59, 144, 145, and 167)</w:t>
      </w:r>
      <w:r>
        <w:t>. (She ran off to marry another man). No doubt this early loss in his life contributed to his psychological vulnerability as a teenager</w:t>
      </w:r>
      <w:r w:rsidR="00B507E7">
        <w:t xml:space="preserve"> – including perhaps his possession by Nietzsche</w:t>
      </w:r>
      <w:r>
        <w:t>.</w:t>
      </w:r>
    </w:p>
    <w:p w14:paraId="50C04709" w14:textId="60074B1C" w:rsidR="00B507E7" w:rsidRDefault="00751D7C">
      <w:r>
        <w:t>As far as I know, Ong did not suffer a comparable loss in his early life.</w:t>
      </w:r>
      <w:r w:rsidR="00B507E7">
        <w:t xml:space="preserve"> But </w:t>
      </w:r>
      <w:r w:rsidR="00A575E2">
        <w:t>I have no idea if he had any noteworthy crises as a teenager</w:t>
      </w:r>
      <w:r w:rsidR="00B507E7">
        <w:t>, and</w:t>
      </w:r>
      <w:r w:rsidR="00B507E7" w:rsidRPr="00B507E7">
        <w:t xml:space="preserve"> </w:t>
      </w:r>
      <w:r w:rsidR="00B507E7">
        <w:t>I have no idea what he as a gifted teenager read – most likely not Nietzsche</w:t>
      </w:r>
      <w:r w:rsidR="00A575E2">
        <w:t>.</w:t>
      </w:r>
      <w:r w:rsidR="0017340C">
        <w:t xml:space="preserve"> Suffice it to say that Ong was almost certainly never as captivated as captivated with Nietzsche as young Buber was.</w:t>
      </w:r>
    </w:p>
    <w:p w14:paraId="5DAF58CE" w14:textId="44A09779" w:rsidR="000569E4" w:rsidRDefault="00C5742B">
      <w:r>
        <w:t xml:space="preserve">However, at the age of sixteen, </w:t>
      </w:r>
      <w:r w:rsidR="00B507E7">
        <w:t>Ong</w:t>
      </w:r>
      <w:r>
        <w:t xml:space="preserve"> was selected as one of the fifteen Eagle Scouts forming the Heart of America Troop to represent the greater Kansas City metropolitan area, including Kansas City, Kansas, at the World Jamboree of Scouts held July 22 to August 13, 1929, at Birkenhead, England, across the Mersey River from Liverpool.</w:t>
      </w:r>
      <w:r w:rsidR="00B422E1">
        <w:t xml:space="preserve"> Between July 10 and September 8, 1929, Ong published twenty-three articles, many with accompanying photos, about that trip in the</w:t>
      </w:r>
      <w:r w:rsidR="008A340F">
        <w:t xml:space="preserve"> now-defunct</w:t>
      </w:r>
      <w:r w:rsidR="00B422E1">
        <w:t xml:space="preserve"> </w:t>
      </w:r>
      <w:r w:rsidR="00B422E1">
        <w:rPr>
          <w:i/>
          <w:iCs/>
        </w:rPr>
        <w:t>Kansas City Journal-Post</w:t>
      </w:r>
      <w:r w:rsidR="00B422E1">
        <w:t>.</w:t>
      </w:r>
    </w:p>
    <w:p w14:paraId="3FE7CA89" w14:textId="51DF8016" w:rsidR="00B422E1" w:rsidRPr="00B422E1" w:rsidRDefault="000569E4">
      <w:r>
        <w:t>Ong</w:t>
      </w:r>
      <w:r w:rsidR="008A340F">
        <w:t xml:space="preserve"> had just graduated from Rockhurst Hight School, the Jesuit high school in Kansas City, Missouri.</w:t>
      </w:r>
      <w:r>
        <w:t xml:space="preserve"> He</w:t>
      </w:r>
      <w:r w:rsidR="0017340C">
        <w:t xml:space="preserve"> then</w:t>
      </w:r>
      <w:r>
        <w:t xml:space="preserve"> did his undergraduate studies at Rockhurst College (class of 1933). He entered the Jesuit novitiate in September 1935.</w:t>
      </w:r>
    </w:p>
    <w:p w14:paraId="3F9A550B" w14:textId="178E5BE1" w:rsidR="005A3BAE" w:rsidRPr="000569E4" w:rsidRDefault="008A340F">
      <w:r>
        <w:t xml:space="preserve">For a bibliography of Ong’s 400 or so publications, including those twenty-three articles, see Thomas M. Walsh’s </w:t>
      </w:r>
      <w:r w:rsidR="00651F55">
        <w:t xml:space="preserve">“Walter J. Ong, S.J.: A Bibliography 1929-2006” in the book </w:t>
      </w:r>
      <w:r w:rsidR="000569E4">
        <w:rPr>
          <w:i/>
          <w:iCs/>
        </w:rPr>
        <w:t>Language, Culture, and Identity: The Legacy of Walter J. Ong, S.J.</w:t>
      </w:r>
      <w:r w:rsidR="000569E4">
        <w:t>, edited by Sara van den Berg and Thomas M. Walsh (Hampton Press, 2011, pages 185-245).</w:t>
      </w:r>
    </w:p>
    <w:p w14:paraId="2EEDBAA1" w14:textId="181E34FC" w:rsidR="001A7C9F" w:rsidRDefault="005A3BAE">
      <w:r>
        <w:t xml:space="preserve">Now, </w:t>
      </w:r>
      <w:r w:rsidR="003324D6">
        <w:t xml:space="preserve">I have no doubt that his practice of Jesuit spirituality awakened </w:t>
      </w:r>
      <w:r w:rsidR="00751D7C">
        <w:t>Ong as a young man</w:t>
      </w:r>
      <w:r w:rsidR="003324D6">
        <w:t xml:space="preserve"> to the divine ground of being and ultimate meaning and value – and thereby enabled him to escape what Buber in </w:t>
      </w:r>
      <w:r w:rsidR="003324D6">
        <w:rPr>
          <w:i/>
          <w:iCs/>
        </w:rPr>
        <w:t>Daniel</w:t>
      </w:r>
      <w:r w:rsidR="003324D6">
        <w:t xml:space="preserve"> refers to as orientation. But that’s not all.</w:t>
      </w:r>
    </w:p>
    <w:p w14:paraId="2F70256C" w14:textId="50C4FA19" w:rsidR="00774F3C" w:rsidRDefault="00751D7C">
      <w:r>
        <w:lastRenderedPageBreak/>
        <w:t xml:space="preserve">In the year in which </w:t>
      </w:r>
      <w:r w:rsidR="003324D6">
        <w:t>Ong</w:t>
      </w:r>
      <w:r>
        <w:t xml:space="preserve"> turned forty (on November 30, 1952), he</w:t>
      </w:r>
      <w:r w:rsidR="003324D6">
        <w:t xml:space="preserve"> actually published an article in which he argues that basically Jesuit spirituality aims to accentuate decision-making</w:t>
      </w:r>
      <w:r w:rsidR="00774F3C">
        <w:t>. The motto of Jesuit spirituality is to find God in all things. In Jesuit spirituality, one’s decision-making is supposed to result from a process of discernment – to discern to the best of one ability, “the life of the ‘divine force’ present in the whirlpool of happenings,” as Huston puts it (page 118).</w:t>
      </w:r>
    </w:p>
    <w:p w14:paraId="08980925" w14:textId="098C5012" w:rsidR="00774F3C" w:rsidRDefault="00774F3C">
      <w:r>
        <w:t xml:space="preserve">See Ong’s article </w:t>
      </w:r>
      <w:r w:rsidR="00B9363F">
        <w:t>“‘A.M.D.G.’ [</w:t>
      </w:r>
      <w:r w:rsidR="004F4AF9">
        <w:t>The abbreviation f</w:t>
      </w:r>
      <w:r w:rsidR="00B9363F">
        <w:t xml:space="preserve">or the Latin saying </w:t>
      </w:r>
      <w:r w:rsidR="00B9363F" w:rsidRPr="00B9363F">
        <w:rPr>
          <w:i/>
          <w:iCs/>
        </w:rPr>
        <w:t>Ad majorem Dei gloriam</w:t>
      </w:r>
      <w:r w:rsidR="00B9363F">
        <w:t xml:space="preserve">, For the greater glory of God]: Dedication or Directive?” in the now-defunct journal </w:t>
      </w:r>
      <w:r w:rsidR="00B9363F">
        <w:rPr>
          <w:i/>
          <w:iCs/>
        </w:rPr>
        <w:t>Review for Religious</w:t>
      </w:r>
      <w:r w:rsidR="00B9363F">
        <w:t xml:space="preserve"> (Saint Louis University), volume 11, number 5 (September 15, 1952): pages 257-264; reprinted in </w:t>
      </w:r>
      <w:r w:rsidR="00B9363F">
        <w:rPr>
          <w:i/>
          <w:iCs/>
        </w:rPr>
        <w:t>Review for Religious</w:t>
      </w:r>
      <w:r w:rsidR="00B9363F">
        <w:t xml:space="preserve">, volume 50, number 1 (1991): pages </w:t>
      </w:r>
      <w:r w:rsidR="00103AF9">
        <w:t xml:space="preserve">35-42; also reprinted in volume three of Ong’s </w:t>
      </w:r>
      <w:r w:rsidR="00103AF9">
        <w:rPr>
          <w:i/>
          <w:iCs/>
        </w:rPr>
        <w:t>Faith and Contexts</w:t>
      </w:r>
      <w:r w:rsidR="00C8336B">
        <w:t>, edited by me and Paul A. Soukup</w:t>
      </w:r>
      <w:r w:rsidR="00103AF9">
        <w:t xml:space="preserve"> (Scholars Press, 1995, pages 1-8).</w:t>
      </w:r>
    </w:p>
    <w:p w14:paraId="5BC9B0E9" w14:textId="242F624E" w:rsidR="00103AF9" w:rsidRDefault="00103AF9">
      <w:r>
        <w:t xml:space="preserve">In addition, see Ong’s book </w:t>
      </w:r>
      <w:r>
        <w:rPr>
          <w:i/>
          <w:iCs/>
        </w:rPr>
        <w:t>Hopkins, the Self, and God</w:t>
      </w:r>
      <w:r>
        <w:t xml:space="preserve"> (University of Toronto Press, 1986, pages </w:t>
      </w:r>
      <w:r w:rsidR="00D71F38">
        <w:t>78-81 and 87</w:t>
      </w:r>
      <w:r>
        <w:t>), the published version of Ong’s 1981 Alexander Lectures at the University of Toronto.</w:t>
      </w:r>
    </w:p>
    <w:p w14:paraId="48DAFF3C" w14:textId="0C1835D6" w:rsidR="0048543D" w:rsidRPr="000A0673" w:rsidRDefault="0048543D">
      <w:r>
        <w:t xml:space="preserve">For an accessible and somewhat detailed account of Jesuit spirituality, see the American Jesuit James Martin’s book </w:t>
      </w:r>
      <w:r w:rsidR="000A0673">
        <w:rPr>
          <w:i/>
          <w:iCs/>
        </w:rPr>
        <w:t>The Jesuit Guide to (Almost) Everything: A Spirituality for Real Life</w:t>
      </w:r>
      <w:r w:rsidR="000A0673">
        <w:t xml:space="preserve"> (HarperOne, 2010).</w:t>
      </w:r>
    </w:p>
    <w:p w14:paraId="07B3CFCA" w14:textId="382B954D" w:rsidR="000A0673" w:rsidRDefault="00EB6B8F">
      <w:r>
        <w:t xml:space="preserve">Now, like Ong, the Victorian poet and classicist Gerard Manley Hopkins (1844-1889) was a Jesuit priest – whose famous poetry was published only posthumously. Each of them began his lengthy Jesuit training with the two-year Jesuit novitiate. During the first year of the Jesuit novitiate, the novices make a 30-day retreat in silence (except for the daily conferences with the retreat director) following the </w:t>
      </w:r>
      <w:r>
        <w:rPr>
          <w:i/>
          <w:iCs/>
        </w:rPr>
        <w:t>Spiritual Exercises</w:t>
      </w:r>
      <w:r>
        <w:t xml:space="preserve"> of the Spanish (Basque) mystic St. Ignatius Loyola (</w:t>
      </w:r>
      <w:r w:rsidR="0048543D">
        <w:t>1491-1556</w:t>
      </w:r>
      <w:r>
        <w:t>), the founder of the Jesuit order</w:t>
      </w:r>
      <w:r w:rsidR="008578CE">
        <w:t xml:space="preserve"> (known formally as the Society of Jesus)</w:t>
      </w:r>
      <w:r>
        <w:t>.</w:t>
      </w:r>
      <w:r w:rsidR="00751D7C">
        <w:t xml:space="preserve"> (Ong entered the Jesuit novitiate in September 1935.)</w:t>
      </w:r>
    </w:p>
    <w:p w14:paraId="17BEE404" w14:textId="77777777" w:rsidR="00FE1D73" w:rsidRDefault="00390986">
      <w:r>
        <w:t xml:space="preserve">At the end of their two-year novitiate, Jesuit novices make their first solemn vows of poverty, chastity, and obedience, and then they move on to the next stage in the lengthy process of Jesuit training. Then after their ordination as Jesuit priests, Jesuits also make a second 30-day retreat in silence (except for the daily conferences with the retreat director) following the </w:t>
      </w:r>
      <w:r>
        <w:rPr>
          <w:i/>
          <w:iCs/>
        </w:rPr>
        <w:t>Spiritual Exercises</w:t>
      </w:r>
      <w:r>
        <w:t xml:space="preserve"> of St. Ignatius Loyola in their tertianship year (a third year of novitiate-like living), after which they make their final solemn vows of poverty, chastity, and obedience and their special Jesuit fourth vow of obedience to the pope (to go wherever the pope might send them).</w:t>
      </w:r>
    </w:p>
    <w:p w14:paraId="329BBA3C" w14:textId="634A0283" w:rsidR="00390986" w:rsidRDefault="00FE1D73">
      <w:r>
        <w:t>(The pope has plenty to do without involving himself in the assignments of Jesuits. So the fourth vow is symbolic. In the day-to-day operation of the Jesuit order, each regional religious superior, known in Jesuit parlance as a provincial, works out the assignments of Jesuits.)</w:t>
      </w:r>
    </w:p>
    <w:p w14:paraId="746167D6" w14:textId="77777777" w:rsidR="006A2E12" w:rsidRDefault="00FE1D73">
      <w:r>
        <w:t xml:space="preserve">In </w:t>
      </w:r>
      <w:r w:rsidR="005A4517">
        <w:t>any event</w:t>
      </w:r>
      <w:r>
        <w:t>,</w:t>
      </w:r>
      <w:r w:rsidR="005A4517">
        <w:t xml:space="preserve"> Ong was ordained a priest on </w:t>
      </w:r>
      <w:r w:rsidR="00E3599A">
        <w:t>June 16, 1946. In 1947-1948,</w:t>
      </w:r>
      <w:r>
        <w:t xml:space="preserve"> he completed his tertianship year</w:t>
      </w:r>
      <w:r w:rsidR="00E3599A">
        <w:t xml:space="preserve">. In the fall of 1948, </w:t>
      </w:r>
      <w:r>
        <w:t>he proceeded to doctoral studies in English at Harvard University.</w:t>
      </w:r>
      <w:r w:rsidR="009F3085">
        <w:t xml:space="preserve"> With the financial assistance of two Guggenheim fellowships, he travelled to more than 100 libraries in the British Isles and Continental Europe tracking down volumes by the French Renaissance logician and educational reformer and Protestant martyr Peter Ramus (1515-1572). From November 1950 to November 1953, Ong was based in a Jesuit residence in Paris.</w:t>
      </w:r>
      <w:r w:rsidR="008578CE">
        <w:t xml:space="preserve"> On February 2, 1953, Father Ong took his final solemn vows in the Society of Jesus in Paris.</w:t>
      </w:r>
    </w:p>
    <w:p w14:paraId="1B816E18" w14:textId="5431B4B8" w:rsidR="00FE1D73" w:rsidRPr="00970E22" w:rsidRDefault="00970E22">
      <w:r>
        <w:t xml:space="preserve">Ong’s book </w:t>
      </w:r>
      <w:r>
        <w:rPr>
          <w:i/>
          <w:iCs/>
        </w:rPr>
        <w:t>Ramus and Talon Inventory</w:t>
      </w:r>
      <w:r>
        <w:t xml:space="preserve"> (Harvard University Press, 1958) is an annotated bibliography of more than 750 volumes that Ong tracked down by Ramus and his allies and his critics, and Ong’s book </w:t>
      </w:r>
      <w:r>
        <w:rPr>
          <w:i/>
          <w:iCs/>
        </w:rPr>
        <w:t>Ramus, Method, and the Decay of Dialogue: From the Art of Discourse to the Art of Reason</w:t>
      </w:r>
      <w:r>
        <w:t xml:space="preserve"> (Harvard </w:t>
      </w:r>
      <w:r>
        <w:lastRenderedPageBreak/>
        <w:t>University Press, 1958) is</w:t>
      </w:r>
      <w:r w:rsidR="0075512D">
        <w:t xml:space="preserve"> </w:t>
      </w:r>
      <w:r w:rsidR="008F3B32">
        <w:t>a perceptive account of the history of the formal study of logic from Aristotle to Ramus and beyond.</w:t>
      </w:r>
      <w:r w:rsidR="006A2E12">
        <w:t xml:space="preserve"> In Ong’s estimate, the Gutenberg printing press that emerged in the mid-1450s enormously advanced the visualist tendencies involved in the formal study of logic from Aristotle down to Ramus and beyond. (I discuss visualist tendencies further below.)</w:t>
      </w:r>
    </w:p>
    <w:p w14:paraId="163E983F" w14:textId="316001F0" w:rsidR="000A0673" w:rsidRDefault="006A2E12">
      <w:r>
        <w:t>Now, f</w:t>
      </w:r>
      <w:r w:rsidR="000A0673">
        <w:t>or a recent account of the life of St. Ignatius Loyola</w:t>
      </w:r>
      <w:r w:rsidR="00D81D73">
        <w:t xml:space="preserve"> by an author who is not himself a Jesuit, see the American</w:t>
      </w:r>
      <w:r w:rsidR="009276DA">
        <w:t xml:space="preserve"> Christian</w:t>
      </w:r>
      <w:r w:rsidR="00D81D73">
        <w:t xml:space="preserve"> scholar Bernard McGinn’s book </w:t>
      </w:r>
      <w:r w:rsidR="006A7844">
        <w:rPr>
          <w:i/>
          <w:iCs/>
        </w:rPr>
        <w:t>Mysticism in the Golden Age of Spain (1500-1650)</w:t>
      </w:r>
      <w:r w:rsidR="006A7844">
        <w:t xml:space="preserve">, which is part two of volume six of McGinn’s book series titled </w:t>
      </w:r>
      <w:r w:rsidR="006A7844">
        <w:rPr>
          <w:i/>
          <w:iCs/>
        </w:rPr>
        <w:t>The Presence of God: A History of Western Christian Mysticism</w:t>
      </w:r>
      <w:r w:rsidR="006A7844">
        <w:t xml:space="preserve"> (Herder &amp; Herder Book/ Crossroad Publishing, 2017, pages 62-113).</w:t>
      </w:r>
    </w:p>
    <w:p w14:paraId="1A7BA0BA" w14:textId="06446710" w:rsidR="006A7844" w:rsidRDefault="006A7844">
      <w:r>
        <w:t>According to Huston, Buber was deeply interested in the German Christian mystics Meister Eckhart (</w:t>
      </w:r>
      <w:r w:rsidR="009276DA">
        <w:t>1260-1328</w:t>
      </w:r>
      <w:r>
        <w:t>) and Jacob Boe</w:t>
      </w:r>
      <w:r w:rsidR="003E6FC1">
        <w:t>h</w:t>
      </w:r>
      <w:r>
        <w:t>me (</w:t>
      </w:r>
      <w:r w:rsidR="009276DA">
        <w:t>1575-1624</w:t>
      </w:r>
      <w:r>
        <w:t>).</w:t>
      </w:r>
      <w:r w:rsidR="009276DA">
        <w:t xml:space="preserve"> See the index of her book for specific page references to these two authors.</w:t>
      </w:r>
    </w:p>
    <w:p w14:paraId="1F5811F1" w14:textId="3F4BB7CC" w:rsidR="00E35010" w:rsidRPr="00E35010" w:rsidRDefault="009276DA" w:rsidP="00E35010">
      <w:r>
        <w:t xml:space="preserve">McGinn discusses Meister Eckhart in his book </w:t>
      </w:r>
      <w:r w:rsidR="00E35010">
        <w:rPr>
          <w:i/>
          <w:iCs/>
        </w:rPr>
        <w:t>The Harvest of Mysticism in Medieval Germany (1300-1500)</w:t>
      </w:r>
      <w:r w:rsidR="00E35010">
        <w:t xml:space="preserve">, volume four of </w:t>
      </w:r>
      <w:r w:rsidR="00E35010">
        <w:rPr>
          <w:i/>
          <w:iCs/>
        </w:rPr>
        <w:t>The Presence of God: A History of Western Christian Mysticism</w:t>
      </w:r>
      <w:r w:rsidR="00E35010">
        <w:t xml:space="preserve"> (Herder &amp; Herder Book/ Crossroad Publishing, 2005, pages </w:t>
      </w:r>
      <w:r w:rsidR="004675B2">
        <w:t>94-194</w:t>
      </w:r>
      <w:r w:rsidR="00E35010">
        <w:t>).</w:t>
      </w:r>
    </w:p>
    <w:p w14:paraId="2D8FAE24" w14:textId="759E290D" w:rsidR="00E35010" w:rsidRPr="00115EDA" w:rsidRDefault="009276DA">
      <w:r>
        <w:t>McGinn discusses Jacob Boehme in his book</w:t>
      </w:r>
      <w:r w:rsidR="004675B2">
        <w:t xml:space="preserve"> </w:t>
      </w:r>
      <w:r w:rsidR="00115EDA">
        <w:rPr>
          <w:i/>
          <w:iCs/>
        </w:rPr>
        <w:t>Mysticism in the Reformation (1500-1650)</w:t>
      </w:r>
      <w:r w:rsidR="00115EDA">
        <w:t xml:space="preserve">, part one of volume six of </w:t>
      </w:r>
      <w:r w:rsidR="00115EDA">
        <w:rPr>
          <w:i/>
          <w:iCs/>
        </w:rPr>
        <w:t>The Presence of God: A History of Western Christian Mysticism</w:t>
      </w:r>
      <w:r w:rsidR="00115EDA">
        <w:t xml:space="preserve"> (Herder &amp; Herder Book/ Crossroad Publishing, 2016, pages 169-210).</w:t>
      </w:r>
    </w:p>
    <w:p w14:paraId="304F273E" w14:textId="1A2FC28E" w:rsidR="007867FF" w:rsidRDefault="00E71EC4">
      <w:r>
        <w:t>As Huston notes</w:t>
      </w:r>
      <w:r w:rsidR="006F17C0">
        <w:t xml:space="preserve"> (pages </w:t>
      </w:r>
      <w:r w:rsidR="00814B27">
        <w:t>34, 57, 59, 61-80, 82-83, 89, 110, 131, 141, 161,</w:t>
      </w:r>
      <w:r w:rsidR="00070E77">
        <w:t xml:space="preserve"> and</w:t>
      </w:r>
      <w:r w:rsidR="00814B27">
        <w:t xml:space="preserve"> 171</w:t>
      </w:r>
      <w:r w:rsidR="006F17C0">
        <w:t>)</w:t>
      </w:r>
      <w:r>
        <w:t xml:space="preserve">, Buber’s wide-ranging interest in mysticism prompted him to publish an anthology of expressions of profound mystical experiences in 1909, </w:t>
      </w:r>
      <w:r>
        <w:rPr>
          <w:i/>
          <w:iCs/>
        </w:rPr>
        <w:t>Ecstatic Confessions</w:t>
      </w:r>
      <w:r>
        <w:t>, translated by Esther Cameron, edited by Paul R. Mendes-Flohr (</w:t>
      </w:r>
      <w:r w:rsidR="006F17C0">
        <w:t>Harper &amp; Row, 1985).</w:t>
      </w:r>
    </w:p>
    <w:p w14:paraId="3547822D" w14:textId="2CDCCF45" w:rsidR="00F803AD" w:rsidRDefault="00F803AD">
      <w:r>
        <w:t xml:space="preserve">Huston says that in a letter dated February 10, 1903, “Buber envisaged this work would comprise a collection of mystical writings by German, Slavic, and Judaic mystics. In fact, when published in 1909, </w:t>
      </w:r>
      <w:r>
        <w:rPr>
          <w:i/>
          <w:iCs/>
        </w:rPr>
        <w:t>Ecstatic Confessions</w:t>
      </w:r>
      <w:r>
        <w:t xml:space="preserve"> also included Indian, Dutch, Italian, French, and Chinese ecstatic confessions. For the publication of this book, Buber wrote an introductory essay called ‘Ecstasy and Confession.’ In it, Buber gave his interpretation of the mystical experience. He later repudiated his treatment of unity in this introduction in favor of his discussion of unity in </w:t>
      </w:r>
      <w:r>
        <w:rPr>
          <w:i/>
          <w:iCs/>
        </w:rPr>
        <w:t>Daniel: Dialogues on Reali</w:t>
      </w:r>
      <w:r w:rsidR="00CA55FA">
        <w:rPr>
          <w:i/>
          <w:iCs/>
        </w:rPr>
        <w:t>z</w:t>
      </w:r>
      <w:r>
        <w:rPr>
          <w:i/>
          <w:iCs/>
        </w:rPr>
        <w:t>ation</w:t>
      </w:r>
      <w:r>
        <w:t xml:space="preserve">” (pages </w:t>
      </w:r>
      <w:r w:rsidR="00545268">
        <w:t>57-58).</w:t>
      </w:r>
    </w:p>
    <w:p w14:paraId="5C216DB2" w14:textId="337CC8D8" w:rsidR="00545268" w:rsidRDefault="00545268">
      <w:r>
        <w:t>Subsequently, Huston says, “There is no doubt that Buber had ecstatic experiences. He states that clearly in the autobiographical fragment ‘Conversion’” (page 61).</w:t>
      </w:r>
      <w:r w:rsidR="005D6C11">
        <w:t xml:space="preserve"> However, later, Huston reports that “in an essay written in 1914</w:t>
      </w:r>
      <w:r w:rsidR="00101348">
        <w:t xml:space="preserve"> [“With a Monist”]</w:t>
      </w:r>
      <w:r w:rsidR="005D6C11">
        <w:t>, Buber denies he is a mystic, although he continues to write of realization. He writes as if in dialogue with a monist. He claims that he is not a mystic, ‘for I still grant to reason a claim that the mystic must deny’” (page 182). I admit that it is not clear to me why “the mystic must deny” “grant[ing] to reason a claim” provided that the mystic does not</w:t>
      </w:r>
      <w:r w:rsidR="00101348">
        <w:t xml:space="preserve"> also</w:t>
      </w:r>
      <w:r w:rsidR="005D6C11">
        <w:t xml:space="preserve"> explicitly </w:t>
      </w:r>
      <w:r w:rsidR="00101348">
        <w:t>claim that his or her mystical experiences can be attributed solely to reason. Barring such a claim, I see no reason why Buber should not continue to write of realization as a larger overall process in life.</w:t>
      </w:r>
      <w:r w:rsidR="005D6C11">
        <w:t xml:space="preserve"> </w:t>
      </w:r>
    </w:p>
    <w:p w14:paraId="5531D12C" w14:textId="2635D4ED" w:rsidR="00B52117" w:rsidRDefault="00B52117">
      <w:r>
        <w:t>In any event, Ong does not claim to be a mystic, nor does he claim to have had ecstatic experiences.</w:t>
      </w:r>
    </w:p>
    <w:p w14:paraId="7A365977" w14:textId="405A4859" w:rsidR="00E352A7" w:rsidRDefault="00E37F68">
      <w:r>
        <w:t xml:space="preserve">Now, Huston says, “Martin Buber </w:t>
      </w:r>
      <w:r w:rsidR="006411C5">
        <w:t xml:space="preserve">returned to his native city, Vienna, to begin his university studies in 1896, when he was eighteen” (page 17). She says, “The ability of the city to attract and assimilate foreign elements was also evident in its treatment of Jews who came from the east, Grete Schaeder </w:t>
      </w:r>
      <w:r w:rsidR="006411C5">
        <w:lastRenderedPageBreak/>
        <w:t>argues. Only the situation of the Jews in fifteenth-century Spain equaled the position of eminence attained by the assimilated Jewish population in Vienna during this time” (page 18).</w:t>
      </w:r>
    </w:p>
    <w:p w14:paraId="62964C7B" w14:textId="2410742A" w:rsidR="006411C5" w:rsidRDefault="006411C5">
      <w:r>
        <w:t xml:space="preserve">Huston’s reference here is to Grete Schaeder’s book </w:t>
      </w:r>
      <w:r>
        <w:rPr>
          <w:i/>
          <w:iCs/>
        </w:rPr>
        <w:t>The Hebrew Humanism of Martin Buber</w:t>
      </w:r>
      <w:r>
        <w:t>, translated from the German by Noah J. Jacobs (Wayne State University Press, 1973; orig. German ed., 1966).</w:t>
      </w:r>
    </w:p>
    <w:p w14:paraId="26453A43" w14:textId="2A5F3983" w:rsidR="006411C5" w:rsidRDefault="00372687">
      <w:r>
        <w:t>Huston says, “In the summer semester of 1899 at the University of Zurich, Buber met Paula Winkler whom he later married” (page 20). Martin and Paula had two children, Rafael (born on July 9, 1900) and Eva (born on July 3, 1901 (page 21).</w:t>
      </w:r>
    </w:p>
    <w:p w14:paraId="25D62C72" w14:textId="77777777" w:rsidR="00372687" w:rsidRDefault="00372687">
      <w:r>
        <w:t>From the letters of Martin and Paula, “Schaeder concludes that Paula was the stronger and more mature personality when they met” (page 21).</w:t>
      </w:r>
    </w:p>
    <w:p w14:paraId="7C8AA801" w14:textId="77777777" w:rsidR="00E57C26" w:rsidRDefault="00372687">
      <w:r>
        <w:t xml:space="preserve">“Furthermore, [Maurice] Friedman claims that the existential trust that underlies </w:t>
      </w:r>
      <w:r>
        <w:rPr>
          <w:i/>
          <w:iCs/>
        </w:rPr>
        <w:t>I and Thou</w:t>
      </w:r>
      <w:r>
        <w:t xml:space="preserve"> and all of Buber’s mature works would have been unthinkable without this relationship to Paula” (page 21).</w:t>
      </w:r>
    </w:p>
    <w:p w14:paraId="222E1622" w14:textId="7E8D54AF" w:rsidR="00372687" w:rsidRDefault="00E57C26">
      <w:r>
        <w:t xml:space="preserve">Huston’s reference here is to Maurice Friedman’s book </w:t>
      </w:r>
      <w:r w:rsidR="00305F4D">
        <w:rPr>
          <w:i/>
          <w:iCs/>
        </w:rPr>
        <w:t>Martin Buber’s Life and Work: The Early Years 1878-1923</w:t>
      </w:r>
      <w:r w:rsidR="00305F4D">
        <w:t xml:space="preserve"> (E. P. Dutton, 1981, page 337).</w:t>
      </w:r>
      <w:r w:rsidR="00372687">
        <w:t xml:space="preserve"> </w:t>
      </w:r>
    </w:p>
    <w:p w14:paraId="0EF6AF78" w14:textId="786C1961" w:rsidR="00AA344C" w:rsidRDefault="0057707E">
      <w:r>
        <w:t>Huston says, “In the winter semester 1899-1900, Buber studied in Berlin at the Royal Friedrich Wilhelm University and enrolled for courses on the General History of Philosophy and Philosophical Exercises under Professor Wilhelm Dilth</w:t>
      </w:r>
      <w:r w:rsidR="00DC4A2F">
        <w:t>e</w:t>
      </w:r>
      <w:r>
        <w:t xml:space="preserve">y and Nineteenth-Century Philosophy and Sociology under Georg Simmel. Both of these professors made a profound impression on </w:t>
      </w:r>
      <w:r w:rsidR="00D432F7">
        <w:t>B</w:t>
      </w:r>
      <w:r>
        <w:t>uber” (page 25).</w:t>
      </w:r>
    </w:p>
    <w:p w14:paraId="665EECFE" w14:textId="77777777" w:rsidR="005802CD" w:rsidRDefault="0024346D">
      <w:r>
        <w:t xml:space="preserve">In an endnote, Huston says, “Buber did suffer from a severe nervous illness in 1902 when he was twenty-four: see letter to Chaim Weizmann, December 12, 1902. During this illness, it was very difficult for him to do any work. In a further letter on January 23, 1903, Buber states that he is an ‘everlasting feverish suspense’ regarding obtaining enough money for his family. He ends by mentioning the abyss that no one else can understand: ‘At almost every moment I feel the abyss right under my feet. – But enough of this – no one else, not even one’s best friend, can understand and truly sympathize in this manner.’ See </w:t>
      </w:r>
      <w:r>
        <w:rPr>
          <w:i/>
          <w:iCs/>
        </w:rPr>
        <w:t>Letters of Martin Buber</w:t>
      </w:r>
      <w:r>
        <w:t xml:space="preserve">, 86 and 89” (page </w:t>
      </w:r>
      <w:r w:rsidR="005802CD">
        <w:t>231).</w:t>
      </w:r>
    </w:p>
    <w:p w14:paraId="661686D6" w14:textId="54263BB0" w:rsidR="0024346D" w:rsidRDefault="005802CD">
      <w:r>
        <w:t xml:space="preserve">Huston’s reference here is to </w:t>
      </w:r>
      <w:r>
        <w:rPr>
          <w:i/>
          <w:iCs/>
        </w:rPr>
        <w:t>The Letters of Martin Buber: A Life of Dialogue</w:t>
      </w:r>
      <w:r>
        <w:t>, edited by N. N. Glatzer and P. Mendes-Flohr, translated by R. Winston, C. Winston, and H. Zohn (Schocken Books, 1991; reprinted by Syracuse University Press, 1996).</w:t>
      </w:r>
      <w:r w:rsidR="0024346D">
        <w:t xml:space="preserve"> </w:t>
      </w:r>
    </w:p>
    <w:p w14:paraId="206C9525" w14:textId="47D80835" w:rsidR="00D432F7" w:rsidRDefault="00D432F7">
      <w:r>
        <w:t>Huston says, “In 1904, Buber presented [his] doctoral dissertation [on Nicholas of Cusa and Jacob Boehme] to the University of Vienna” (page 54).</w:t>
      </w:r>
    </w:p>
    <w:p w14:paraId="45BFB0B2" w14:textId="5856CF63" w:rsidR="006A708B" w:rsidRDefault="006A708B">
      <w:r>
        <w:t xml:space="preserve">Huston says, “Between 1904, when he completed his dissertation on Cusa and Boehme, and 1909, Buber withdrew from activity in the Zionist party and stopped writing articles and giving speeches. Having read the testament of Rabbi Israel Baal-Shem in </w:t>
      </w:r>
      <w:r>
        <w:rPr>
          <w:i/>
          <w:iCs/>
        </w:rPr>
        <w:t>Zevaat Ribesh</w:t>
      </w:r>
      <w:r>
        <w:t>, Buber took five years away from his normal activities and immersed himself in gathering and studying Hasidic literature. During this period, he published two books on Hasidism” (page 57).</w:t>
      </w:r>
    </w:p>
    <w:p w14:paraId="155EE355" w14:textId="4CE24A18" w:rsidR="00DC4A2F" w:rsidRPr="00187F31" w:rsidRDefault="00187F31">
      <w:r>
        <w:t xml:space="preserve">In 1909, Buber published the anthology </w:t>
      </w:r>
      <w:r>
        <w:rPr>
          <w:i/>
          <w:iCs/>
        </w:rPr>
        <w:t>Ecstatic Confessions</w:t>
      </w:r>
      <w:r>
        <w:t>, which I discuss below.</w:t>
      </w:r>
    </w:p>
    <w:p w14:paraId="1016A093" w14:textId="62299AF7" w:rsidR="006A708B" w:rsidRPr="006A708B" w:rsidRDefault="00731561">
      <w:r>
        <w:t xml:space="preserve">Huston says, “Between 1909 and 1914, Buber gave a series of influential addresses on various elements of Judaism” (page 58), which she discusses further </w:t>
      </w:r>
      <w:r w:rsidR="00025D33">
        <w:t>on pages 92-105</w:t>
      </w:r>
      <w:r>
        <w:t>.</w:t>
      </w:r>
    </w:p>
    <w:p w14:paraId="68B87CEB" w14:textId="667D5CB7" w:rsidR="006D3B91" w:rsidRDefault="006D3B91" w:rsidP="006D3B91">
      <w:r>
        <w:lastRenderedPageBreak/>
        <w:t xml:space="preserve">Now, the title of Huston’s book refers to the lectures on “Religion as Presence” that Buber delivered in 1922. A stenographer’s copy of Buber’s lectures can be found in Rivka Horwitz’s book </w:t>
      </w:r>
      <w:r>
        <w:rPr>
          <w:i/>
          <w:iCs/>
        </w:rPr>
        <w:t>Buber’s Way to “I and Thou”: The Development of Buber’s Thought and His “Religion as Presence” Lectures</w:t>
      </w:r>
      <w:r>
        <w:t>, translated by Esther Cameron (Jewish Publication Society, 1988; orig. German ed., 1978).</w:t>
      </w:r>
    </w:p>
    <w:p w14:paraId="089D441A" w14:textId="77777777" w:rsidR="006D3B91" w:rsidRDefault="006D3B91" w:rsidP="006D3B91">
      <w:r>
        <w:t xml:space="preserve">But Huston discusses Buber’s eight 1922 “Religion as Presence” lectures only in her final chapter (pages 185-208). Her lengthiest chapter (pages 106-184) is devoted to discussing Buber’s pivotal 1913 work </w:t>
      </w:r>
      <w:r>
        <w:rPr>
          <w:i/>
          <w:iCs/>
        </w:rPr>
        <w:t>Daniel: [Five] Dialogues on Realization</w:t>
      </w:r>
      <w:r>
        <w:t>, the English translation of which by Maurice Friedman has recently been reissued by Syracuse University Press in 2018.</w:t>
      </w:r>
    </w:p>
    <w:p w14:paraId="144A4F2C" w14:textId="77777777" w:rsidR="006D3B91" w:rsidRDefault="006D3B91" w:rsidP="006D3B91">
      <w:r>
        <w:t xml:space="preserve">Briefly, according to Huston, Buber accentuates in </w:t>
      </w:r>
      <w:r>
        <w:rPr>
          <w:i/>
          <w:iCs/>
        </w:rPr>
        <w:t>Daniel</w:t>
      </w:r>
      <w:r>
        <w:t xml:space="preserve"> what he refers to as direction (pages 112-115) – that is, the human soul’s direction – that is, when the human soul’s direction is activated and engaged in decision-making oriented toward God (i.e., the unconditioned ground of being) through the person’s own spirituality (see esp. page 113). Huston discusses Buber’s account of direction extensively (pages 86, 106, 109-121, 140, 142, 148-152, 198, 200, and 207).</w:t>
      </w:r>
    </w:p>
    <w:p w14:paraId="01CC0788" w14:textId="77777777" w:rsidR="006D3B91" w:rsidRDefault="006D3B91" w:rsidP="006D3B91">
      <w:r>
        <w:t>However, just as Buber discusses the activation of the human soul’s direction, so too he also discusses the undirected soul (i.e., the soul in which the person’s spirituality has not activated the soul’s direction), which is not characterized by direction but instead by what Buber refers to as orientation (Huston, pages 94, 110, 124, 126-131, 133-140, 146-149, 151-152, 176, and 204). Moreover, for the person whose spirituality has not activated the soul’s direction, according to Huston, “the life of the ‘divine force’ present in the whirlpool of happenings is deadened” (page 118).</w:t>
      </w:r>
    </w:p>
    <w:p w14:paraId="0B4996E5" w14:textId="77777777" w:rsidR="006D3B91" w:rsidRDefault="006D3B91" w:rsidP="006D3B91">
      <w:r>
        <w:t xml:space="preserve">Buber’s imagery of the “whirlpool of happenings” reminds me of the imagery of studying the whirlpool that the Canadian Renaissance specialist and cultural historian Marshall McLuhan (1911-1980; Ph.D. in English, Cambridge University, 1943) uses in the preface to his book </w:t>
      </w:r>
      <w:r>
        <w:rPr>
          <w:i/>
          <w:iCs/>
        </w:rPr>
        <w:t>The Mechanical Bride: Folklore of Industrial Man</w:t>
      </w:r>
      <w:r>
        <w:t xml:space="preserve"> (Vanguard Press, 1951, pages v-vi).</w:t>
      </w:r>
    </w:p>
    <w:p w14:paraId="212E824C" w14:textId="77777777" w:rsidR="006D3B91" w:rsidRDefault="006D3B91" w:rsidP="006D3B91">
      <w:r>
        <w:t xml:space="preserve">McLuhan refers to Edgar Allan Poe’s story “A Descent into the Maelstrom.” McLuhan says, “Poe’s sailor saved himself by studying the action of the whirlpool and by cooperating with it” (page v). However, according to Buber in his 1913 work </w:t>
      </w:r>
      <w:r>
        <w:rPr>
          <w:i/>
          <w:iCs/>
        </w:rPr>
        <w:t>Daniel</w:t>
      </w:r>
      <w:r>
        <w:t>, only the person whose soul’s direction has been activated can possibly hope to discern “the life of ‘divine force’ in the whirlpool of happenings” (Huston, page 118).</w:t>
      </w:r>
    </w:p>
    <w:p w14:paraId="10496370" w14:textId="77777777" w:rsidR="006D3B91" w:rsidRDefault="006D3B91" w:rsidP="006D3B91">
      <w:r>
        <w:t>According to Huston, “Direction – that primal tension that moves one to choose – intrinsically involves meaning and value. Each person has to make a decision as to whether realization or orientation will be the dominant force in his or her life. It is the way of realization that awakens one to ultimate meaning” (page 140; also see page 176: “‘Then the I of this tension is awakened in you’”).</w:t>
      </w:r>
    </w:p>
    <w:p w14:paraId="6A786F01" w14:textId="77777777" w:rsidR="006D3B91" w:rsidRDefault="006D3B91" w:rsidP="006D3B91">
      <w:r>
        <w:t xml:space="preserve">Now, Huston quotes Buber’s </w:t>
      </w:r>
      <w:r>
        <w:rPr>
          <w:i/>
          <w:iCs/>
        </w:rPr>
        <w:t>Daniel</w:t>
      </w:r>
      <w:r>
        <w:t xml:space="preserve"> at length: “‘Direction is that primal tension [</w:t>
      </w:r>
      <w:r>
        <w:rPr>
          <w:i/>
          <w:iCs/>
        </w:rPr>
        <w:t>Urspannung</w:t>
      </w:r>
      <w:r>
        <w:t>] of a human soul which moves it to choose and act to realize this and no other out of the infinity of possibilities. Thus the soul strips off the net of directions, the net of space and of time, of causes and of ends, of subjects and objects, it strips off the net of directions and takes nothing with it but the magic of its direction. That is the strength that the soul has found in itself, to which it recalls itself, which it raises out of itself’” (quoted on page 119; bracketed material added by Huston).</w:t>
      </w:r>
    </w:p>
    <w:p w14:paraId="29475B1C" w14:textId="2AE50055" w:rsidR="006D3B91" w:rsidRDefault="006D3B91" w:rsidP="006D3B91">
      <w:r>
        <w:t xml:space="preserve">Buber also discusses “the strength that the soul has found in itself” further in his famous 1923 book </w:t>
      </w:r>
      <w:r>
        <w:rPr>
          <w:i/>
          <w:iCs/>
        </w:rPr>
        <w:t>I and Thou</w:t>
      </w:r>
      <w:r>
        <w:t>, 2nd ed., translated by Ronald Gregor Smith (1958)</w:t>
      </w:r>
      <w:r w:rsidR="000C0BA8">
        <w:t>, mentioned above</w:t>
      </w:r>
      <w:r>
        <w:t xml:space="preserve">: “In the language of the </w:t>
      </w:r>
      <w:r>
        <w:lastRenderedPageBreak/>
        <w:t>Bible, ‘Those who wait upon the Lord shall renew their strength’ [Isaiah 40:31; RSV]” (page 110; I have added the bracketed reference).</w:t>
      </w:r>
    </w:p>
    <w:p w14:paraId="317F05F5" w14:textId="11D90665" w:rsidR="006D3B91" w:rsidRDefault="006D3B91" w:rsidP="006D3B91">
      <w:r>
        <w:t>Buber also interprets certain words of Nietzsche’s as referring to a comparable inner experience: “In the language of Nietzsche, who in his account remains loyal to reality, ‘We take and do not ask who it is there that gives’” (page 110).</w:t>
      </w:r>
    </w:p>
    <w:p w14:paraId="4DD719BF" w14:textId="645ED8FA" w:rsidR="000C0BA8" w:rsidRDefault="000C0BA8" w:rsidP="006D3B91">
      <w:r>
        <w:t xml:space="preserve">Incidentally, for the second edition of </w:t>
      </w:r>
      <w:r>
        <w:rPr>
          <w:i/>
          <w:iCs/>
        </w:rPr>
        <w:t>I and Thou</w:t>
      </w:r>
      <w:r>
        <w:t xml:space="preserve"> (1958), Buber himself provided a postscript (pages 121-137). In the subsection numbered 5 (pages 131-134), he notes that three</w:t>
      </w:r>
      <w:r w:rsidR="00CE557A">
        <w:t xml:space="preserve"> professional</w:t>
      </w:r>
      <w:r>
        <w:t xml:space="preserve"> relationships of trust do not by their very nature allow for </w:t>
      </w:r>
      <w:r w:rsidR="00CB7A1C">
        <w:t>full</w:t>
      </w:r>
      <w:r>
        <w:t xml:space="preserve"> mutuality: (1) </w:t>
      </w:r>
      <w:r w:rsidR="00CE557A">
        <w:t>genuine educator and pupil,</w:t>
      </w:r>
      <w:r>
        <w:t xml:space="preserve"> (2)</w:t>
      </w:r>
      <w:r w:rsidR="00CE557A">
        <w:t xml:space="preserve"> psychotherapist and client,</w:t>
      </w:r>
      <w:r>
        <w:t xml:space="preserve"> and (3)</w:t>
      </w:r>
      <w:r w:rsidR="00CE557A">
        <w:t xml:space="preserve"> pastor and congregants. I suppose that by its nature, spiritual direction also does not allow for full mutuality.</w:t>
      </w:r>
    </w:p>
    <w:p w14:paraId="0374DA10" w14:textId="267BF210" w:rsidR="00CE557A" w:rsidRDefault="00CE557A" w:rsidP="006D3B91">
      <w:r>
        <w:t>In any event, Ong</w:t>
      </w:r>
      <w:r w:rsidR="0098560A">
        <w:t>, who served as the elected-president of the Modern Language Association of America (MLA) in 1978,</w:t>
      </w:r>
      <w:r>
        <w:t xml:space="preserve"> writes about the</w:t>
      </w:r>
      <w:r w:rsidR="0098560A">
        <w:t xml:space="preserve"> fiduciary relationship of</w:t>
      </w:r>
      <w:r>
        <w:t xml:space="preserve"> genuine educator</w:t>
      </w:r>
      <w:r w:rsidR="0098560A">
        <w:t>s toward their</w:t>
      </w:r>
      <w:r>
        <w:t xml:space="preserve"> pupils in his</w:t>
      </w:r>
      <w:r w:rsidR="0098560A">
        <w:t xml:space="preserve"> </w:t>
      </w:r>
      <w:r w:rsidR="007B6A3D">
        <w:t>“Presidential Address 1978:</w:t>
      </w:r>
      <w:r w:rsidR="0085531F">
        <w:t xml:space="preserve"> The Human Nature of Professionalism” in </w:t>
      </w:r>
      <w:r w:rsidR="0085531F">
        <w:rPr>
          <w:i/>
          <w:iCs/>
        </w:rPr>
        <w:t>PMLA: Publications of the Modern Language Association</w:t>
      </w:r>
      <w:r w:rsidR="0085531F">
        <w:t>, volume 94, number 3 (May 1979): pages 385-394.</w:t>
      </w:r>
      <w:bookmarkStart w:id="0" w:name="_GoBack"/>
      <w:bookmarkEnd w:id="0"/>
      <w:r>
        <w:t xml:space="preserve"> </w:t>
      </w:r>
    </w:p>
    <w:p w14:paraId="71145819" w14:textId="5AD3FE8B" w:rsidR="006D3B91" w:rsidRDefault="006D3B91" w:rsidP="006D3B91">
      <w:r>
        <w:t xml:space="preserve">In Walter Kaufmann’s later English translation of Buber’s </w:t>
      </w:r>
      <w:r>
        <w:rPr>
          <w:i/>
          <w:iCs/>
        </w:rPr>
        <w:t>I and Thou</w:t>
      </w:r>
      <w:r w:rsidR="000C0BA8">
        <w:t>, 2nd ed.</w:t>
      </w:r>
      <w:r>
        <w:t xml:space="preserve"> (Charles Scribner’s Sons, 1970), Kaufmann translates the passage as saying “In the language of Nietzsche who is still faithful to actuality in his report: ‘One accepts, one does not ask who gives’” (page 158). In a footnote, Kaufmann identifies Nietzsche’s quoted words as coming from “</w:t>
      </w:r>
      <w:r>
        <w:rPr>
          <w:i/>
          <w:iCs/>
        </w:rPr>
        <w:t>Ecce Homo</w:t>
      </w:r>
      <w:r>
        <w:t xml:space="preserve">, in section 3 of the discussion of </w:t>
      </w:r>
      <w:r>
        <w:rPr>
          <w:i/>
          <w:iCs/>
        </w:rPr>
        <w:t>Zarathustra</w:t>
      </w:r>
      <w:r>
        <w:t>” (page 158, note 6).</w:t>
      </w:r>
    </w:p>
    <w:p w14:paraId="33A5F821" w14:textId="442EB1E6" w:rsidR="00D15CBC" w:rsidRDefault="00083FB1">
      <w:r>
        <w:t xml:space="preserve">Now, in my estimate, Ong’s most perceptive discussion of Nietzsche’s claim that God is dead can be found in his 1961 essay that he reprinted as </w:t>
      </w:r>
      <w:r w:rsidR="002418E2">
        <w:t xml:space="preserve">“Post-Christian or Not?” in his book </w:t>
      </w:r>
      <w:r w:rsidR="002418E2">
        <w:rPr>
          <w:i/>
          <w:iCs/>
        </w:rPr>
        <w:t>In the Human Grain: Further Explorations of Contemporary Culture</w:t>
      </w:r>
      <w:r w:rsidR="002418E2">
        <w:t xml:space="preserve"> (Macmillan, 1967, pages 147-</w:t>
      </w:r>
      <w:r w:rsidR="00C34801">
        <w:t>164</w:t>
      </w:r>
      <w:r w:rsidR="002418E2">
        <w:t>).</w:t>
      </w:r>
    </w:p>
    <w:p w14:paraId="4E6B9374" w14:textId="27D5C1BD" w:rsidR="00D84207" w:rsidRDefault="00BE2250">
      <w:r>
        <w:t xml:space="preserve">However, in his book </w:t>
      </w:r>
      <w:r>
        <w:rPr>
          <w:i/>
          <w:iCs/>
        </w:rPr>
        <w:t>The Presence of the Word: Some Prolegomena for Cultural and Religious History</w:t>
      </w:r>
      <w:r>
        <w:t xml:space="preserve"> (Yale University Press), the expanded version of his 1964 Terry Lectures at Yale University, Ong says, “Could the cry of Nietzsche’s madman, ‘God is dead,’ derive from the fact that He cannot be readily found by the old signs in the newly organized sensorium where word stands in such relationship to the total complex of awareness by which man earlier situated himself in his life-world? Could the late Martin Buber’s more sensitive suggestion that this is an age in which God is ‘silent’ reflect the same state of affairs</w:t>
      </w:r>
      <w:r w:rsidR="00B10956">
        <w:t>? Could it be that God is not silent</w:t>
      </w:r>
      <w:r w:rsidR="005B13DD">
        <w:t>,</w:t>
      </w:r>
      <w:r w:rsidR="00B10956">
        <w:t xml:space="preserve"> but that man is relatively deaf, his sensorium adjusted to the post-Newtonian silent universe?</w:t>
      </w:r>
    </w:p>
    <w:p w14:paraId="1C7C6864" w14:textId="4E763F29" w:rsidR="00B10956" w:rsidRDefault="00B10956">
      <w:r>
        <w:t>“If so, the situation is not hopeless. If we have moved far from the original culture in which the word acquired its basic meaning, yet we still do use the word, we still talk. How much is the word the same and how much different? To understand ourselves and the religious question as it exists in the modern world, we have somehow to understand man’s past in which the word existed in a sensorium by now grown utterly strange to us. What was the word like to men of old, more particularly to men before the word was put into writing? The past is, after all, ourselves, and it is our future. Our possibilities themselves are what they are because of what we have been” (page 16).</w:t>
      </w:r>
    </w:p>
    <w:p w14:paraId="2961D705" w14:textId="24F81F17" w:rsidR="005B13DD" w:rsidRDefault="005B13DD">
      <w:r>
        <w:t>Later in his book, Ong says, “Serious religious persons, not always aware of the background of the present state of affairs, have argued that today’s media distract from the word of God. As suggested in chapter 1, the state of the media may lie back of this persuasion as well as back of the Ni</w:t>
      </w:r>
      <w:r w:rsidR="00BE1B9E">
        <w:t>e</w:t>
      </w:r>
      <w:r>
        <w:t xml:space="preserve">tzschean </w:t>
      </w:r>
      <w:r>
        <w:lastRenderedPageBreak/>
        <w:t xml:space="preserve">protest that God is dead. Others, such as the late Martin Buber, have spoken of our age as one in which god is ‘silent.’ In his </w:t>
      </w:r>
      <w:r>
        <w:rPr>
          <w:i/>
          <w:iCs/>
        </w:rPr>
        <w:t>Eclipse of God</w:t>
      </w:r>
      <w:r>
        <w:t xml:space="preserve">, taking up a statement of Sartre and giving it a more profound meaning than Sartre had intended, Buber refers to Isaiah 45:15 to suggest that God is one who not only reveals himself but conceals himself as well. Without impugning the depth and truth of Buber’s insight, we might recall that concealment and silence, though </w:t>
      </w:r>
      <w:r w:rsidR="00401051">
        <w:t>alike, are not exactly the same thing. Communication by voice thrives on concealment, for voice emerges from the interior, which is essentially concealed. One might ask whether a feeling that God is silent might not on the one hand mean that God is communicating to man very much today, since his word is also like our silence, as noted in chapter 3, and on the other hand might not be intimately connected with the reorganization of the sensorium which technological man has undergone and which is signaled by the countless transformations to which the word has been subject.</w:t>
      </w:r>
      <w:r w:rsidR="003273A6">
        <w:t xml:space="preserve"> If God’s presence is to be known, it must be found while man is living in a newly arranged constellation of sensory apprehensions.</w:t>
      </w:r>
    </w:p>
    <w:p w14:paraId="4791C571" w14:textId="27D5EAE3" w:rsidR="003273A6" w:rsidRPr="005B13DD" w:rsidRDefault="003273A6">
      <w:r>
        <w:t xml:space="preserve">“The story told in the foregoing chapters suggests that a certain silencing of God may have been prepared for by the silencing of man’s life-world. The ability to respond directly </w:t>
      </w:r>
      <w:r w:rsidR="00FF06C3">
        <w:t xml:space="preserve">to the word enjoyed by early oral-aural man have been attenuated by objectifying the human life-world through hypertrophy of the visual and the obtrusion of the visual into the verbal itself as man has moved through the chirographic and typographic stages of culture. In Buber’s terminology, we have maximized the ‘it’ and minimized the ‘I’ and the ‘thou.’ But we have not done this perversely, or even deliberately, for this maximizing and minimizing was the inevitable result of the evolution of the media. </w:t>
      </w:r>
      <w:r w:rsidR="00014B10">
        <w:t>Maximizing the it, the objective, visual-tactile aspect of existence necessarily accompanies the restructuring of the sensorium and of the psyche demanded by the evolving relationship of man with his communication system and its environment which we have traced here” (pages 288-289).</w:t>
      </w:r>
    </w:p>
    <w:p w14:paraId="4EFA6275" w14:textId="063ED1D9" w:rsidR="00B10956" w:rsidRDefault="00B10956">
      <w:r>
        <w:t xml:space="preserve">Ong’s reference here is to Buber’s book </w:t>
      </w:r>
      <w:r w:rsidR="004E3CC4">
        <w:rPr>
          <w:i/>
          <w:iCs/>
        </w:rPr>
        <w:t>Eclipse of God: Studies in the Relation</w:t>
      </w:r>
      <w:r w:rsidR="005F04F3">
        <w:rPr>
          <w:i/>
          <w:iCs/>
        </w:rPr>
        <w:t xml:space="preserve"> between Religion and Philosophy</w:t>
      </w:r>
      <w:r w:rsidR="00F613EB">
        <w:t>, translated by Maurice S. Friedman, Eugene Kamenka, Norbert Guterman, and I. M. Lask</w:t>
      </w:r>
      <w:r w:rsidR="005F04F3">
        <w:t xml:space="preserve"> </w:t>
      </w:r>
      <w:r w:rsidR="00F613EB">
        <w:t>(</w:t>
      </w:r>
      <w:r w:rsidR="005F04F3">
        <w:t>Harper</w:t>
      </w:r>
      <w:r w:rsidR="00352814">
        <w:t xml:space="preserve"> &amp; Brothers</w:t>
      </w:r>
      <w:r w:rsidR="005F04F3">
        <w:t>, 195</w:t>
      </w:r>
      <w:r w:rsidR="00352814">
        <w:t>2</w:t>
      </w:r>
      <w:r w:rsidR="005F04F3">
        <w:t>).</w:t>
      </w:r>
    </w:p>
    <w:p w14:paraId="3305193F" w14:textId="15F91FA6" w:rsidR="007F6146" w:rsidRPr="007F6146" w:rsidRDefault="007F6146">
      <w:r>
        <w:t xml:space="preserve">In my estimate, Ong’s most perceptive extended discussion of the visualist tendencies in the chirographic and typographic stages of Western culture can be found in his account of the formal study of logic from Aristotle to Ramus and beyond in his 1958 book </w:t>
      </w:r>
      <w:r>
        <w:rPr>
          <w:i/>
          <w:iCs/>
        </w:rPr>
        <w:t>Ramus, Method, and the Decay of Dialogue: From the Art of Discourse to the Art of Reason</w:t>
      </w:r>
      <w:r>
        <w:t>, mentioned above. Ong associates the visualist tendencies in Western philosophical thought from Plato and Aristotle onward, but not necessarily with the Hebrew Bible, even though it was also written in a phonetic alphabetic script.</w:t>
      </w:r>
    </w:p>
    <w:p w14:paraId="395152F3" w14:textId="16CDAF14" w:rsidR="00014B10" w:rsidRDefault="00014B10">
      <w:r>
        <w:t xml:space="preserve">Now, in Kaufmann’s lengthy prologue to his 1970 translation of Buber’s </w:t>
      </w:r>
      <w:r>
        <w:rPr>
          <w:i/>
          <w:iCs/>
        </w:rPr>
        <w:t>I and Thou</w:t>
      </w:r>
      <w:r>
        <w:t xml:space="preserve"> (pages </w:t>
      </w:r>
      <w:r w:rsidR="005608C2">
        <w:t>7-48</w:t>
      </w:r>
      <w:r>
        <w:t xml:space="preserve">), mentioned above, Kaufmann says, </w:t>
      </w:r>
      <w:r w:rsidR="00214576">
        <w:t>“The Greeks were eminently visual people. They gloried in the visual arts; Homer’s epics abound in visual detail; and they created tragedy and comedy, [thereby] adding new dimensions to visual art.</w:t>
      </w:r>
    </w:p>
    <w:p w14:paraId="6BC255B3" w14:textId="1F62F57C" w:rsidR="00214576" w:rsidRDefault="00214576">
      <w:r>
        <w:t>“The Hebrews were not so visual and actually entertained a prohibition against the visual arts. Neither did they have tragedies or comedies. The one book of the Bible that has sometimes been called a tragedy, Job, was clearly not intended for, and actually precluded, any visual representation.</w:t>
      </w:r>
    </w:p>
    <w:p w14:paraId="32706133" w14:textId="3C69418D" w:rsidR="00214576" w:rsidRDefault="00214576">
      <w:r>
        <w:t>“The Greeks visualized their gods and represented them in marble and in beautiful vase paintings. They also brought them on the stage.</w:t>
      </w:r>
    </w:p>
    <w:p w14:paraId="2D0485EE" w14:textId="1FF3CFF7" w:rsidR="00214576" w:rsidRDefault="00214576">
      <w:r>
        <w:lastRenderedPageBreak/>
        <w:t>“The Hebrews did not visualize their God and expressly forbade attempts to make Him an object – a visual object, a concrete object, any object. Their God was not to be seen. He was to be heard and listened to [i.e.,</w:t>
      </w:r>
      <w:r w:rsidR="00EC5CE0">
        <w:t xml:space="preserve"> heeded and</w:t>
      </w:r>
      <w:r>
        <w:t xml:space="preserve"> responded to]. He was not an It but an I – or a You” (page 33).</w:t>
      </w:r>
    </w:p>
    <w:p w14:paraId="592E88DC" w14:textId="677DF5E5" w:rsidR="00214576" w:rsidRDefault="00214576">
      <w:r>
        <w:t xml:space="preserve">For further discussion of the Greeks, see </w:t>
      </w:r>
      <w:r w:rsidR="003A112A">
        <w:t xml:space="preserve">Andrea Wilson Nightingale’s book </w:t>
      </w:r>
      <w:r w:rsidR="003A112A">
        <w:rPr>
          <w:i/>
          <w:iCs/>
        </w:rPr>
        <w:t>Spectacles of Truth in Classical Greek Philosophy:</w:t>
      </w:r>
      <w:r w:rsidR="003A112A">
        <w:t xml:space="preserve"> Theoria </w:t>
      </w:r>
      <w:r w:rsidR="003A112A">
        <w:rPr>
          <w:i/>
          <w:iCs/>
        </w:rPr>
        <w:t>in Its Cultural Context</w:t>
      </w:r>
      <w:r w:rsidR="003A112A">
        <w:t xml:space="preserve"> (Cambridge University Press, 2004).</w:t>
      </w:r>
    </w:p>
    <w:p w14:paraId="664F30C0" w14:textId="542FBFBB" w:rsidR="00EC5CE0" w:rsidRDefault="00EC5CE0">
      <w:r>
        <w:t xml:space="preserve">For further discussion of the Hebrew orientation to listening to God and responding, see Susan Niditch’s book </w:t>
      </w:r>
      <w:r>
        <w:rPr>
          <w:i/>
          <w:iCs/>
        </w:rPr>
        <w:t>The Responsive Self: Personal Religion in Biblical Literature of the Neo-Babylonian and Persian Periods</w:t>
      </w:r>
      <w:r>
        <w:t xml:space="preserve"> (Yale University Press, 2015).</w:t>
      </w:r>
    </w:p>
    <w:p w14:paraId="0CCF0D31" w14:textId="1647D688" w:rsidR="007B034F" w:rsidRDefault="00F3428D">
      <w:r>
        <w:t xml:space="preserve">Now, in Huston’s introduction (pages </w:t>
      </w:r>
      <w:r w:rsidR="002F0C6D">
        <w:t>ix-xiv</w:t>
      </w:r>
      <w:r>
        <w:t xml:space="preserve">), she says, “George Steiner begins his book </w:t>
      </w:r>
      <w:r>
        <w:rPr>
          <w:i/>
          <w:iCs/>
        </w:rPr>
        <w:t>Real Presences</w:t>
      </w:r>
      <w:r>
        <w:t xml:space="preserve"> [University of Chicago Press, 1989] by writing: ‘We speak still of “sunrise” and “sunset.” We do so as if the Copernican model of the solar system had not replaced, ineradicably, the Ptolemaic. Vacant metaphors, eroded figures of speech, inhabit our vocabulary and grammar. They are caught, tenaciously, in the scaffolding and recesses of our common parlance; there they rattle about</w:t>
      </w:r>
      <w:r w:rsidR="007B034F">
        <w:t xml:space="preserve"> like</w:t>
      </w:r>
      <w:r>
        <w:t xml:space="preserve"> the </w:t>
      </w:r>
      <w:r w:rsidR="007B034F">
        <w:t>old ghosts in the attic.</w:t>
      </w:r>
    </w:p>
    <w:p w14:paraId="4997DD0F" w14:textId="77777777" w:rsidR="007B034F" w:rsidRDefault="007B034F">
      <w:r>
        <w:t>“‘This is the reason why rational men and women, particularly in the scientific and technological realities of the West, still refer to “God.” This is why the postulate of the existence of God persists in so many unconsidered turns of phrase and allusion. No plausible reflection or belief underwrites His presence. Nor does any intelligible evidence. Where God clings to our culture, to our routine discourse, He is a phantom or grammar, a fossil embedded in the childhood of rational speech. So Nietzsche (and many after him).</w:t>
      </w:r>
    </w:p>
    <w:p w14:paraId="0E560BD2" w14:textId="3325D366" w:rsidR="007B034F" w:rsidRDefault="007B034F">
      <w:r>
        <w:t>“‘This essay argues the reverse</w:t>
      </w:r>
      <w:r w:rsidR="00C1647D">
        <w:t>.</w:t>
      </w:r>
      <w:r>
        <w:t>’</w:t>
      </w:r>
    </w:p>
    <w:p w14:paraId="186F339C" w14:textId="77777777" w:rsidR="007B034F" w:rsidRDefault="007B034F">
      <w:r>
        <w:t>“Buber also argues the reverse” (pages x-xi).</w:t>
      </w:r>
    </w:p>
    <w:p w14:paraId="46DB3FC7" w14:textId="1B246AE7" w:rsidR="00F3428D" w:rsidRDefault="007B034F">
      <w:r>
        <w:t>Subsequently Huston also says,</w:t>
      </w:r>
      <w:r w:rsidR="00E90989">
        <w:t xml:space="preserve"> “[Jacques</w:t>
      </w:r>
      <w:r w:rsidR="006E0919">
        <w:t xml:space="preserve">] </w:t>
      </w:r>
      <w:r w:rsidR="00E90989">
        <w:t>Derrida may be</w:t>
      </w:r>
      <w:r w:rsidR="006E0919">
        <w:t xml:space="preserve"> quoted as the chief proponent of the postmodern critique of the metaphysics of presence.</w:t>
      </w:r>
      <w:r w:rsidR="00074C40">
        <w:t xml:space="preserve"> He argues that Nietzsche as well as Heidegger and Freud worked within the inherited concepts of metaphysics. According to Derrida, these concepts are the center and ground of the history of metaphysics: </w:t>
      </w:r>
    </w:p>
    <w:p w14:paraId="5F25EC91" w14:textId="01554B6D" w:rsidR="00074C40" w:rsidRDefault="00074C40">
      <w:r>
        <w:t xml:space="preserve">“‘The history of metaphysics, like the history of the West, is the history of these metaphors and metanymies. Its matrix . . . is the determination of Being as </w:t>
      </w:r>
      <w:r>
        <w:rPr>
          <w:i/>
          <w:iCs/>
        </w:rPr>
        <w:t>presence</w:t>
      </w:r>
      <w:r>
        <w:t xml:space="preserve"> in all senses of this word. It</w:t>
      </w:r>
      <w:r w:rsidR="00C8336B">
        <w:t xml:space="preserve"> could be shown that all the names related to fundamentals, to principles, or to the center have always designated an invariable presence – </w:t>
      </w:r>
      <w:r w:rsidR="00C8336B">
        <w:rPr>
          <w:i/>
          <w:iCs/>
        </w:rPr>
        <w:t>eidos</w:t>
      </w:r>
      <w:r w:rsidR="00C8336B">
        <w:t xml:space="preserve">, </w:t>
      </w:r>
      <w:r w:rsidR="00C8336B">
        <w:rPr>
          <w:i/>
          <w:iCs/>
        </w:rPr>
        <w:t>arche</w:t>
      </w:r>
      <w:r w:rsidR="00C8336B">
        <w:t xml:space="preserve">, </w:t>
      </w:r>
      <w:r w:rsidR="00C8336B">
        <w:rPr>
          <w:i/>
          <w:iCs/>
        </w:rPr>
        <w:t>telos</w:t>
      </w:r>
      <w:r w:rsidR="00C8336B">
        <w:t xml:space="preserve">, </w:t>
      </w:r>
      <w:r w:rsidR="00C8336B">
        <w:rPr>
          <w:i/>
          <w:iCs/>
        </w:rPr>
        <w:t>energeia</w:t>
      </w:r>
      <w:r w:rsidR="00C8336B">
        <w:t xml:space="preserve">, </w:t>
      </w:r>
      <w:r w:rsidR="00C8336B">
        <w:rPr>
          <w:i/>
          <w:iCs/>
        </w:rPr>
        <w:t>ousia</w:t>
      </w:r>
      <w:r w:rsidR="00C8336B">
        <w:t xml:space="preserve"> (essence, existence, substance, subject) </w:t>
      </w:r>
      <w:r w:rsidR="00C8336B">
        <w:rPr>
          <w:i/>
          <w:iCs/>
        </w:rPr>
        <w:t>aletheia</w:t>
      </w:r>
      <w:r w:rsidR="00C8336B">
        <w:t>, transcendentality, consciousness, God, man, and so forth.</w:t>
      </w:r>
    </w:p>
    <w:p w14:paraId="403B4155" w14:textId="07D67B70" w:rsidR="00C8336B" w:rsidRDefault="00C8336B">
      <w:r>
        <w:t xml:space="preserve">“Derrida argues that the history of metaphysics is dominated by ‘presumption of and orientation towards absolute </w:t>
      </w:r>
      <w:r>
        <w:rPr>
          <w:i/>
          <w:iCs/>
        </w:rPr>
        <w:t>logos</w:t>
      </w:r>
      <w:r>
        <w:t>.’ The history of philosophy has assumed an ‘eterna</w:t>
      </w:r>
      <w:r w:rsidR="00963F4D">
        <w:t>l</w:t>
      </w:r>
      <w:r>
        <w:t>, creative</w:t>
      </w:r>
      <w:r w:rsidR="00963F4D">
        <w:t xml:space="preserve"> subjectivity, the source of all truth and being, the absolute </w:t>
      </w:r>
      <w:r w:rsidR="00963F4D">
        <w:rPr>
          <w:i/>
          <w:iCs/>
        </w:rPr>
        <w:t>logos</w:t>
      </w:r>
      <w:r w:rsidR="00963F4D">
        <w:t xml:space="preserve"> is not only presumed, it constitutes the ultimate object of desire.’ [The American Lonergan scholar Elizabeth</w:t>
      </w:r>
      <w:r w:rsidR="0032688E">
        <w:t xml:space="preserve"> A.</w:t>
      </w:r>
      <w:r w:rsidR="00963F4D">
        <w:t>] Morelli recognizes that Derrida aims to expose an</w:t>
      </w:r>
      <w:r w:rsidR="003868BB">
        <w:t xml:space="preserve"> ‘exigent, powerful, systematic, and irrepressible desire for such a signified [an absolu</w:t>
      </w:r>
      <w:r w:rsidR="0077347C">
        <w:t>t</w:t>
      </w:r>
      <w:r w:rsidR="003868BB">
        <w:t xml:space="preserve">e transcendent presence]’ as corrupting the history of philosophy. Martin Buber, I believe, was motivated by such </w:t>
      </w:r>
      <w:r w:rsidR="0077347C">
        <w:t>a desire. I will argue that it was the absence of presence that corrupted his early philosophy. Buber’s search is for a presence that will not let him down</w:t>
      </w:r>
      <w:r w:rsidR="00846263">
        <w:t xml:space="preserve">, that will not be a ‘mis-meeting’ – i.e., for a presence </w:t>
      </w:r>
      <w:r w:rsidR="00846263">
        <w:lastRenderedPageBreak/>
        <w:t>‘by means of which we are told that nevertheless there is meaning’” (pages xi-xii; the ellipsis and the material in square brackets were inserted by Huston).</w:t>
      </w:r>
    </w:p>
    <w:p w14:paraId="4A4A3474" w14:textId="26B0AAF9" w:rsidR="00846263" w:rsidRDefault="00846263">
      <w:r>
        <w:t xml:space="preserve">Huston’s reference to Derrida here is to his book </w:t>
      </w:r>
      <w:r>
        <w:rPr>
          <w:i/>
          <w:iCs/>
        </w:rPr>
        <w:t>Writing and Difference</w:t>
      </w:r>
      <w:r>
        <w:t>, translated</w:t>
      </w:r>
      <w:r w:rsidR="00D72BDE">
        <w:t xml:space="preserve"> from the French</w:t>
      </w:r>
      <w:r>
        <w:t xml:space="preserve"> by Alan Bass</w:t>
      </w:r>
      <w:r w:rsidR="00D72BDE">
        <w:t xml:space="preserve"> (University of Chicago Press, 1978,</w:t>
      </w:r>
      <w:r>
        <w:t xml:space="preserve"> page 28</w:t>
      </w:r>
      <w:r w:rsidR="00D72BDE">
        <w:t>; orig. French ed., 1967).</w:t>
      </w:r>
    </w:p>
    <w:p w14:paraId="629BCFBF" w14:textId="3E940B11" w:rsidR="007007A3" w:rsidRDefault="007007A3">
      <w:r>
        <w:t xml:space="preserve">Because Ong never tired of referring to Buber’s </w:t>
      </w:r>
      <w:r>
        <w:rPr>
          <w:i/>
          <w:iCs/>
        </w:rPr>
        <w:t>I and Thou</w:t>
      </w:r>
      <w:r w:rsidR="00F75EB7">
        <w:t>, I would argue that he also “was motivated by such a desire,” as Huston claims Buber was.</w:t>
      </w:r>
    </w:p>
    <w:p w14:paraId="05A4038A" w14:textId="77777777" w:rsidR="003A430D" w:rsidRDefault="006D1ABF">
      <w:r>
        <w:t xml:space="preserve">However, in connection with certain aspects of Derrida’s overall critique, I would call attention to what Ong variously refers to as </w:t>
      </w:r>
      <w:r w:rsidR="00096E4E">
        <w:t xml:space="preserve">the corpuscular view of reality, the corpuscular epistemology, and the corpuscular psychology of Ramus and his followers in his 1958 book </w:t>
      </w:r>
      <w:r w:rsidR="00096E4E">
        <w:rPr>
          <w:i/>
          <w:iCs/>
        </w:rPr>
        <w:t>Ramus, Method, and the Decay of Dialogue: From the Art of Discourse to the Art of Reason</w:t>
      </w:r>
      <w:r w:rsidR="00096E4E">
        <w:t xml:space="preserve"> (pages 65-66, 72, 146, 171, 196, 203, 210, and perhaps also 286), mentioned above.</w:t>
      </w:r>
    </w:p>
    <w:p w14:paraId="5079641D" w14:textId="4D2BBE94" w:rsidR="006D1ABF" w:rsidRPr="007007A3" w:rsidRDefault="003A430D">
      <w:r>
        <w:t xml:space="preserve">Also see my essay “Ong’s Call for a Revolution in Our Thinking” in the ambitious anthology </w:t>
      </w:r>
      <w:r>
        <w:rPr>
          <w:i/>
          <w:iCs/>
        </w:rPr>
        <w:t>Of Ong and Media Ecology</w:t>
      </w:r>
      <w:r>
        <w:t>, edited by me and Paul A. Soukup (Hampton Press, 2012, pages 45-70).</w:t>
      </w:r>
      <w:r w:rsidR="00096E4E">
        <w:t xml:space="preserve"> </w:t>
      </w:r>
    </w:p>
    <w:sectPr w:rsidR="006D1ABF" w:rsidRPr="007007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607"/>
    <w:rsid w:val="00014B10"/>
    <w:rsid w:val="00025D33"/>
    <w:rsid w:val="00032A6A"/>
    <w:rsid w:val="000569E4"/>
    <w:rsid w:val="00070E77"/>
    <w:rsid w:val="00072F8B"/>
    <w:rsid w:val="00074C40"/>
    <w:rsid w:val="00083FB1"/>
    <w:rsid w:val="00096E4E"/>
    <w:rsid w:val="000A0673"/>
    <w:rsid w:val="000C0BA8"/>
    <w:rsid w:val="000C2CFD"/>
    <w:rsid w:val="00101348"/>
    <w:rsid w:val="00103AF9"/>
    <w:rsid w:val="001131B3"/>
    <w:rsid w:val="00115EDA"/>
    <w:rsid w:val="0017340C"/>
    <w:rsid w:val="00187F31"/>
    <w:rsid w:val="001A7C9F"/>
    <w:rsid w:val="001F539B"/>
    <w:rsid w:val="00214576"/>
    <w:rsid w:val="002341D3"/>
    <w:rsid w:val="002418E2"/>
    <w:rsid w:val="0024346D"/>
    <w:rsid w:val="0025137D"/>
    <w:rsid w:val="002C332A"/>
    <w:rsid w:val="002E0B68"/>
    <w:rsid w:val="002E76EA"/>
    <w:rsid w:val="002F0C6D"/>
    <w:rsid w:val="00300B38"/>
    <w:rsid w:val="00305F4D"/>
    <w:rsid w:val="0032688E"/>
    <w:rsid w:val="003273A6"/>
    <w:rsid w:val="003324D6"/>
    <w:rsid w:val="00352814"/>
    <w:rsid w:val="00372687"/>
    <w:rsid w:val="003868BB"/>
    <w:rsid w:val="00390986"/>
    <w:rsid w:val="003A112A"/>
    <w:rsid w:val="003A430D"/>
    <w:rsid w:val="003E6FC1"/>
    <w:rsid w:val="00401051"/>
    <w:rsid w:val="00424BE8"/>
    <w:rsid w:val="004675B2"/>
    <w:rsid w:val="00482F15"/>
    <w:rsid w:val="0048543D"/>
    <w:rsid w:val="004D0178"/>
    <w:rsid w:val="004E3CC4"/>
    <w:rsid w:val="004E532A"/>
    <w:rsid w:val="004F3B53"/>
    <w:rsid w:val="004F4AF9"/>
    <w:rsid w:val="00544FCE"/>
    <w:rsid w:val="00545268"/>
    <w:rsid w:val="005608C2"/>
    <w:rsid w:val="00561FF0"/>
    <w:rsid w:val="0056600C"/>
    <w:rsid w:val="0057707E"/>
    <w:rsid w:val="005802CD"/>
    <w:rsid w:val="005908BF"/>
    <w:rsid w:val="005A3BAE"/>
    <w:rsid w:val="005A4517"/>
    <w:rsid w:val="005B13DD"/>
    <w:rsid w:val="005D6C11"/>
    <w:rsid w:val="005F04F3"/>
    <w:rsid w:val="00632278"/>
    <w:rsid w:val="006411C5"/>
    <w:rsid w:val="00651F55"/>
    <w:rsid w:val="00662AC2"/>
    <w:rsid w:val="00684ED8"/>
    <w:rsid w:val="006A2E12"/>
    <w:rsid w:val="006A708B"/>
    <w:rsid w:val="006A7844"/>
    <w:rsid w:val="006C3DA6"/>
    <w:rsid w:val="006D1ABF"/>
    <w:rsid w:val="006D3B91"/>
    <w:rsid w:val="006E0919"/>
    <w:rsid w:val="006F17C0"/>
    <w:rsid w:val="007007A3"/>
    <w:rsid w:val="00722C50"/>
    <w:rsid w:val="00731561"/>
    <w:rsid w:val="00751D7C"/>
    <w:rsid w:val="0075512D"/>
    <w:rsid w:val="00757C5F"/>
    <w:rsid w:val="00757E39"/>
    <w:rsid w:val="0077347C"/>
    <w:rsid w:val="00774F3C"/>
    <w:rsid w:val="007867FF"/>
    <w:rsid w:val="007B034F"/>
    <w:rsid w:val="007B5868"/>
    <w:rsid w:val="007B6A3D"/>
    <w:rsid w:val="007F6146"/>
    <w:rsid w:val="00814B27"/>
    <w:rsid w:val="00825EB3"/>
    <w:rsid w:val="00825FC5"/>
    <w:rsid w:val="00846263"/>
    <w:rsid w:val="0085531F"/>
    <w:rsid w:val="008578CE"/>
    <w:rsid w:val="00860BBB"/>
    <w:rsid w:val="00866025"/>
    <w:rsid w:val="00883428"/>
    <w:rsid w:val="008A340F"/>
    <w:rsid w:val="008B4470"/>
    <w:rsid w:val="008F3B32"/>
    <w:rsid w:val="009276DA"/>
    <w:rsid w:val="0093727F"/>
    <w:rsid w:val="00963F4D"/>
    <w:rsid w:val="009654F7"/>
    <w:rsid w:val="00970E22"/>
    <w:rsid w:val="0098560A"/>
    <w:rsid w:val="00997139"/>
    <w:rsid w:val="009A5746"/>
    <w:rsid w:val="009D4A68"/>
    <w:rsid w:val="009F3085"/>
    <w:rsid w:val="009F4943"/>
    <w:rsid w:val="00A575E2"/>
    <w:rsid w:val="00A86FC2"/>
    <w:rsid w:val="00A931F1"/>
    <w:rsid w:val="00A960ED"/>
    <w:rsid w:val="00AA344C"/>
    <w:rsid w:val="00AF6597"/>
    <w:rsid w:val="00B05368"/>
    <w:rsid w:val="00B10956"/>
    <w:rsid w:val="00B119D2"/>
    <w:rsid w:val="00B422E1"/>
    <w:rsid w:val="00B507E7"/>
    <w:rsid w:val="00B52117"/>
    <w:rsid w:val="00B62D4C"/>
    <w:rsid w:val="00B9363F"/>
    <w:rsid w:val="00BB7498"/>
    <w:rsid w:val="00BE0E0C"/>
    <w:rsid w:val="00BE1B9E"/>
    <w:rsid w:val="00BE2250"/>
    <w:rsid w:val="00C04589"/>
    <w:rsid w:val="00C149C4"/>
    <w:rsid w:val="00C1647D"/>
    <w:rsid w:val="00C24BA2"/>
    <w:rsid w:val="00C34801"/>
    <w:rsid w:val="00C5742B"/>
    <w:rsid w:val="00C675BC"/>
    <w:rsid w:val="00C8336B"/>
    <w:rsid w:val="00CA55FA"/>
    <w:rsid w:val="00CB7A1C"/>
    <w:rsid w:val="00CE557A"/>
    <w:rsid w:val="00D13866"/>
    <w:rsid w:val="00D14733"/>
    <w:rsid w:val="00D15CBC"/>
    <w:rsid w:val="00D240C8"/>
    <w:rsid w:val="00D432F7"/>
    <w:rsid w:val="00D46911"/>
    <w:rsid w:val="00D71F38"/>
    <w:rsid w:val="00D72BDE"/>
    <w:rsid w:val="00D764A2"/>
    <w:rsid w:val="00D81D73"/>
    <w:rsid w:val="00D84207"/>
    <w:rsid w:val="00DB36FC"/>
    <w:rsid w:val="00DC4A2F"/>
    <w:rsid w:val="00E35010"/>
    <w:rsid w:val="00E352A7"/>
    <w:rsid w:val="00E3599A"/>
    <w:rsid w:val="00E37F68"/>
    <w:rsid w:val="00E45607"/>
    <w:rsid w:val="00E57C26"/>
    <w:rsid w:val="00E63644"/>
    <w:rsid w:val="00E71EC4"/>
    <w:rsid w:val="00E90989"/>
    <w:rsid w:val="00EA6EEC"/>
    <w:rsid w:val="00EB1C35"/>
    <w:rsid w:val="00EB6B8F"/>
    <w:rsid w:val="00EC5CE0"/>
    <w:rsid w:val="00ED58B3"/>
    <w:rsid w:val="00F3087F"/>
    <w:rsid w:val="00F3428D"/>
    <w:rsid w:val="00F613EB"/>
    <w:rsid w:val="00F75EB7"/>
    <w:rsid w:val="00F803AD"/>
    <w:rsid w:val="00FA399F"/>
    <w:rsid w:val="00FC046A"/>
    <w:rsid w:val="00FD4223"/>
    <w:rsid w:val="00FE1D73"/>
    <w:rsid w:val="00FF06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563F8"/>
  <w15:chartTrackingRefBased/>
  <w15:docId w15:val="{CACFDF34-27FB-4122-9626-4D2F4F97A6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A6EEC"/>
    <w:rPr>
      <w:color w:val="0563C1" w:themeColor="hyperlink"/>
      <w:u w:val="single"/>
    </w:rPr>
  </w:style>
  <w:style w:type="character" w:styleId="UnresolvedMention">
    <w:name w:val="Unresolved Mention"/>
    <w:basedOn w:val="DefaultParagraphFont"/>
    <w:uiPriority w:val="99"/>
    <w:semiHidden/>
    <w:unhideWhenUsed/>
    <w:rsid w:val="00EA6EEC"/>
    <w:rPr>
      <w:color w:val="605E5C"/>
      <w:shd w:val="clear" w:color="auto" w:fill="E1DFDD"/>
    </w:rPr>
  </w:style>
  <w:style w:type="character" w:styleId="FollowedHyperlink">
    <w:name w:val="FollowedHyperlink"/>
    <w:basedOn w:val="DefaultParagraphFont"/>
    <w:uiPriority w:val="99"/>
    <w:semiHidden/>
    <w:unhideWhenUsed/>
    <w:rsid w:val="00EA6EEC"/>
    <w:rPr>
      <w:color w:val="954F72" w:themeColor="followedHyperlink"/>
      <w:u w:val="single"/>
    </w:rPr>
  </w:style>
  <w:style w:type="paragraph" w:styleId="BalloonText">
    <w:name w:val="Balloon Text"/>
    <w:basedOn w:val="Normal"/>
    <w:link w:val="BalloonTextChar"/>
    <w:uiPriority w:val="99"/>
    <w:semiHidden/>
    <w:unhideWhenUsed/>
    <w:rsid w:val="009372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727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tfarrell@d.umn.edu" TargetMode="External"/><Relationship Id="rId4" Type="http://schemas.openxmlformats.org/officeDocument/2006/relationships/hyperlink" Target="http://www.d.emn.edu/~tfarrel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442</TotalTime>
  <Pages>10</Pages>
  <Words>4950</Words>
  <Characters>28220</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52</cp:revision>
  <cp:lastPrinted>2019-06-15T22:53:00Z</cp:lastPrinted>
  <dcterms:created xsi:type="dcterms:W3CDTF">2019-06-15T22:57:00Z</dcterms:created>
  <dcterms:modified xsi:type="dcterms:W3CDTF">2019-06-16T15:06:00Z</dcterms:modified>
</cp:coreProperties>
</file>